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B15F" w14:textId="77777777" w:rsidR="00EA164B" w:rsidRPr="009C04A4" w:rsidRDefault="00EA164B" w:rsidP="002D0B9A">
      <w:pPr>
        <w:spacing w:before="100" w:beforeAutospacing="1" w:after="100" w:afterAutospacing="1" w:line="240" w:lineRule="auto"/>
        <w:jc w:val="center"/>
        <w:rPr>
          <w:rFonts w:cs="Times New Roman"/>
          <w:b/>
          <w:bCs/>
          <w:color w:val="0070C0"/>
          <w:sz w:val="24"/>
          <w:szCs w:val="24"/>
          <w:lang w:val="en-US"/>
        </w:rPr>
      </w:pPr>
      <w:r w:rsidRPr="009C04A4">
        <w:rPr>
          <w:rFonts w:cs="Times New Roman"/>
          <w:b/>
          <w:bCs/>
          <w:color w:val="0070C0"/>
          <w:sz w:val="24"/>
          <w:szCs w:val="24"/>
          <w:lang w:val="en-US"/>
        </w:rPr>
        <w:t>Requests for Clarification Part II</w:t>
      </w:r>
    </w:p>
    <w:p w14:paraId="256B72F0" w14:textId="77777777" w:rsidR="00EA164B" w:rsidRPr="009C04A4" w:rsidRDefault="00EA164B" w:rsidP="002D0B9A">
      <w:pPr>
        <w:pStyle w:val="Default"/>
        <w:spacing w:before="100" w:beforeAutospacing="1" w:after="100" w:afterAutospacing="1"/>
        <w:jc w:val="center"/>
        <w:rPr>
          <w:rFonts w:asciiTheme="minorHAnsi" w:hAnsiTheme="minorHAnsi"/>
          <w:b/>
          <w:color w:val="0070C0"/>
          <w:lang w:val="en-US"/>
        </w:rPr>
      </w:pPr>
      <w:r w:rsidRPr="009C04A4">
        <w:rPr>
          <w:rFonts w:asciiTheme="minorHAnsi" w:hAnsiTheme="minorHAnsi"/>
          <w:b/>
          <w:color w:val="0070C0"/>
          <w:lang w:val="en-US"/>
        </w:rPr>
        <w:t>Evidence-Based Information Management for Citizen Security in Central America</w:t>
      </w:r>
    </w:p>
    <w:p w14:paraId="7ADB09CB" w14:textId="4FBB1D54" w:rsidR="00082543" w:rsidRPr="00D250CB" w:rsidRDefault="00EA164B" w:rsidP="002D0B9A">
      <w:pPr>
        <w:pStyle w:val="Default"/>
        <w:spacing w:before="100" w:beforeAutospacing="1" w:after="100" w:afterAutospacing="1"/>
        <w:jc w:val="center"/>
        <w:rPr>
          <w:rFonts w:asciiTheme="minorHAnsi" w:hAnsiTheme="minorHAnsi"/>
          <w:b/>
          <w:color w:val="0070C0"/>
          <w:lang w:val="en-US"/>
        </w:rPr>
      </w:pPr>
      <w:r w:rsidRPr="009C04A4">
        <w:rPr>
          <w:rFonts w:asciiTheme="minorHAnsi" w:hAnsiTheme="minorHAnsi"/>
          <w:b/>
          <w:color w:val="0070C0"/>
          <w:lang w:val="en-US"/>
        </w:rPr>
        <w:t xml:space="preserve">United Nations Development </w:t>
      </w:r>
      <w:proofErr w:type="spellStart"/>
      <w:r w:rsidRPr="009C04A4">
        <w:rPr>
          <w:rFonts w:asciiTheme="minorHAnsi" w:hAnsiTheme="minorHAnsi"/>
          <w:b/>
          <w:color w:val="0070C0"/>
          <w:lang w:val="en-US"/>
        </w:rPr>
        <w:t>Programme</w:t>
      </w:r>
      <w:proofErr w:type="spellEnd"/>
      <w:r w:rsidRPr="009C04A4">
        <w:rPr>
          <w:rFonts w:asciiTheme="minorHAnsi" w:hAnsiTheme="minorHAnsi"/>
          <w:b/>
          <w:color w:val="0070C0"/>
          <w:lang w:val="en-US"/>
        </w:rPr>
        <w:t xml:space="preserve"> – Regional Service Centre for Latin America and the Caribbean</w:t>
      </w:r>
    </w:p>
    <w:p w14:paraId="6D926BF5" w14:textId="77777777" w:rsidR="00C503CF" w:rsidRDefault="00EA164B" w:rsidP="009B77F6">
      <w:pPr>
        <w:spacing w:before="100" w:beforeAutospacing="1" w:after="100" w:afterAutospacing="1" w:line="240" w:lineRule="auto"/>
        <w:jc w:val="both"/>
        <w:rPr>
          <w:i/>
          <w:color w:val="1F497D" w:themeColor="text2"/>
          <w:lang w:val="en-US"/>
        </w:rPr>
      </w:pPr>
      <w:r w:rsidRPr="009C04A4">
        <w:rPr>
          <w:i/>
          <w:color w:val="1F497D" w:themeColor="text2"/>
          <w:lang w:val="en-US"/>
        </w:rPr>
        <w:t>Please note that the proposed per diem in Dominican Republic is higher than the approved by the US department of State</w:t>
      </w:r>
    </w:p>
    <w:p w14:paraId="1E950163" w14:textId="25448A72" w:rsidR="00AD30BC" w:rsidRDefault="00F67DCB" w:rsidP="009B77F6">
      <w:pPr>
        <w:spacing w:before="100" w:beforeAutospacing="1" w:after="100" w:afterAutospacing="1" w:line="240" w:lineRule="auto"/>
        <w:jc w:val="both"/>
        <w:rPr>
          <w:lang w:val="en-US"/>
        </w:rPr>
      </w:pPr>
      <w:r w:rsidRPr="00F67DCB">
        <w:rPr>
          <w:lang w:val="en-US"/>
        </w:rPr>
        <w:t>The UN Daily Subsistence Allowance</w:t>
      </w:r>
      <w:r>
        <w:rPr>
          <w:lang w:val="en-US"/>
        </w:rPr>
        <w:t xml:space="preserve"> </w:t>
      </w:r>
      <w:r w:rsidRPr="00F67DCB">
        <w:rPr>
          <w:lang w:val="en-US"/>
        </w:rPr>
        <w:t xml:space="preserve">system </w:t>
      </w:r>
      <w:r>
        <w:rPr>
          <w:lang w:val="en-US"/>
        </w:rPr>
        <w:t>(DSA, or per diem)</w:t>
      </w:r>
      <w:r w:rsidRPr="00F67DCB">
        <w:rPr>
          <w:lang w:val="en-US"/>
        </w:rPr>
        <w:t xml:space="preserve"> is set according to International Civil Service Commission (ICSC)</w:t>
      </w:r>
      <w:r w:rsidRPr="009C04A4">
        <w:rPr>
          <w:rStyle w:val="FootnoteReference"/>
          <w:lang w:val="en-US"/>
        </w:rPr>
        <w:footnoteReference w:id="1"/>
      </w:r>
      <w:r w:rsidRPr="00F67DCB">
        <w:rPr>
          <w:lang w:val="en-US"/>
        </w:rPr>
        <w:t>, which is an independent expert body established by the United Nations General Assembly</w:t>
      </w:r>
      <w:r w:rsidRPr="009C04A4">
        <w:rPr>
          <w:rStyle w:val="FootnoteReference"/>
          <w:lang w:val="en-US"/>
        </w:rPr>
        <w:footnoteReference w:id="2"/>
      </w:r>
      <w:r w:rsidRPr="00F67DCB">
        <w:rPr>
          <w:lang w:val="en-US"/>
        </w:rPr>
        <w:t xml:space="preserve"> of which US is a member. </w:t>
      </w:r>
      <w:r w:rsidR="00AD30BC" w:rsidRPr="003B6A48">
        <w:rPr>
          <w:lang w:val="en-US"/>
        </w:rPr>
        <w:t>Each month this commission sets a per diem rate for each country, and the project budget estimates are based on these monthly rates. The DSA rate of US$ 254 for Santo Domingo</w:t>
      </w:r>
      <w:r w:rsidR="00AD30BC">
        <w:rPr>
          <w:rStyle w:val="FootnoteReference"/>
          <w:lang w:val="en-US"/>
        </w:rPr>
        <w:footnoteReference w:id="3"/>
      </w:r>
      <w:r w:rsidR="00AD30BC" w:rsidRPr="003B6A48">
        <w:rPr>
          <w:lang w:val="en-US"/>
        </w:rPr>
        <w:t xml:space="preserve"> has been established in the International Civil Service Commission DSA Circular Report: ICSC/CIRC/DSA/466 (Annex 1)</w:t>
      </w:r>
      <w:r w:rsidR="00AD30BC" w:rsidRPr="00F67DCB">
        <w:rPr>
          <w:lang w:val="en-US"/>
        </w:rPr>
        <w:t>.</w:t>
      </w:r>
    </w:p>
    <w:p w14:paraId="152B2E2D" w14:textId="40351009" w:rsidR="00DA0E23" w:rsidRDefault="005E039F" w:rsidP="009B77F6">
      <w:pPr>
        <w:spacing w:before="100" w:beforeAutospacing="1" w:after="100" w:afterAutospacing="1" w:line="240" w:lineRule="auto"/>
        <w:jc w:val="both"/>
        <w:rPr>
          <w:lang w:val="en-US"/>
        </w:rPr>
      </w:pPr>
      <w:r>
        <w:rPr>
          <w:lang w:val="en-US"/>
        </w:rPr>
        <w:t xml:space="preserve">As </w:t>
      </w:r>
      <w:r w:rsidR="00BC79D8">
        <w:rPr>
          <w:lang w:val="en-US"/>
        </w:rPr>
        <w:t xml:space="preserve">the International </w:t>
      </w:r>
      <w:r>
        <w:rPr>
          <w:lang w:val="en-US"/>
        </w:rPr>
        <w:t xml:space="preserve">Civil </w:t>
      </w:r>
      <w:r w:rsidR="00BC79D8">
        <w:rPr>
          <w:lang w:val="en-US"/>
        </w:rPr>
        <w:t>S</w:t>
      </w:r>
      <w:r>
        <w:rPr>
          <w:lang w:val="en-US"/>
        </w:rPr>
        <w:t xml:space="preserve">ervice Commission </w:t>
      </w:r>
      <w:r w:rsidR="00BC79D8">
        <w:rPr>
          <w:lang w:val="en-US"/>
        </w:rPr>
        <w:t xml:space="preserve">rates are </w:t>
      </w:r>
      <w:r>
        <w:rPr>
          <w:lang w:val="en-US"/>
        </w:rPr>
        <w:t xml:space="preserve">reviewed </w:t>
      </w:r>
      <w:r w:rsidR="00BC79D8">
        <w:rPr>
          <w:lang w:val="en-US"/>
        </w:rPr>
        <w:t xml:space="preserve">on a monthly basis (and thus subject to change), </w:t>
      </w:r>
      <w:bookmarkStart w:id="0" w:name="_GoBack"/>
      <w:r w:rsidR="00BC79D8">
        <w:rPr>
          <w:lang w:val="en-US"/>
        </w:rPr>
        <w:t xml:space="preserve">whereby there might be a possible case of conflict </w:t>
      </w:r>
      <w:proofErr w:type="spellStart"/>
      <w:r w:rsidR="00BC79D8">
        <w:rPr>
          <w:lang w:val="en-US"/>
        </w:rPr>
        <w:t>ie</w:t>
      </w:r>
      <w:proofErr w:type="spellEnd"/>
      <w:r w:rsidR="00BC79D8">
        <w:rPr>
          <w:lang w:val="en-US"/>
        </w:rPr>
        <w:t xml:space="preserve">. UNDP´s DSA is higher than the per diem approved by the US Department of State, UNDP will fund the difference. </w:t>
      </w:r>
      <w:bookmarkEnd w:id="0"/>
    </w:p>
    <w:p w14:paraId="7EE8CDF7" w14:textId="489C64F4" w:rsidR="008E2F01" w:rsidRPr="00D250CB" w:rsidRDefault="00EA164B"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t>Other Direct Costs - workshops: Please provide breakdown (what is the approximate cost of the</w:t>
      </w:r>
      <w:r w:rsidR="00E52353" w:rsidRPr="009C04A4">
        <w:rPr>
          <w:i/>
          <w:color w:val="1F497D" w:themeColor="text2"/>
          <w:lang w:val="en-US"/>
        </w:rPr>
        <w:t xml:space="preserve"> </w:t>
      </w:r>
      <w:r w:rsidRPr="009C04A4">
        <w:rPr>
          <w:i/>
          <w:color w:val="1F497D" w:themeColor="text2"/>
          <w:lang w:val="en-US"/>
        </w:rPr>
        <w:t>premise and what is the catering amount? What the catering amount includes per person?).</w:t>
      </w:r>
      <w:r w:rsidR="00E52353" w:rsidRPr="009C04A4">
        <w:rPr>
          <w:i/>
          <w:color w:val="1F497D" w:themeColor="text2"/>
          <w:lang w:val="en-US"/>
        </w:rPr>
        <w:t xml:space="preserve"> </w:t>
      </w:r>
    </w:p>
    <w:p w14:paraId="5A614FF0" w14:textId="62922AF6" w:rsidR="00CD6D2B" w:rsidRDefault="00F9184A"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cost of </w:t>
      </w:r>
      <w:r w:rsidR="00467241">
        <w:rPr>
          <w:lang w:val="en-US"/>
        </w:rPr>
        <w:t xml:space="preserve">most </w:t>
      </w:r>
      <w:r w:rsidRPr="009C04A4">
        <w:rPr>
          <w:lang w:val="en-US"/>
        </w:rPr>
        <w:t xml:space="preserve">meetings </w:t>
      </w:r>
      <w:r w:rsidR="00467241">
        <w:rPr>
          <w:lang w:val="en-US"/>
        </w:rPr>
        <w:t xml:space="preserve">and workshops </w:t>
      </w:r>
      <w:r w:rsidR="007F3B33">
        <w:rPr>
          <w:lang w:val="en-US"/>
        </w:rPr>
        <w:t>covers</w:t>
      </w:r>
      <w:r w:rsidR="00467241">
        <w:rPr>
          <w:lang w:val="en-US"/>
        </w:rPr>
        <w:t xml:space="preserve"> </w:t>
      </w:r>
      <w:r w:rsidRPr="009C04A4">
        <w:rPr>
          <w:lang w:val="en-US"/>
        </w:rPr>
        <w:t>catering</w:t>
      </w:r>
      <w:r w:rsidR="00467241">
        <w:rPr>
          <w:lang w:val="en-US"/>
        </w:rPr>
        <w:t xml:space="preserve"> and </w:t>
      </w:r>
      <w:r w:rsidRPr="00913FFA">
        <w:rPr>
          <w:lang w:val="en-US"/>
        </w:rPr>
        <w:t xml:space="preserve">premises. </w:t>
      </w:r>
      <w:r w:rsidR="00CD6D2B" w:rsidRPr="009C04A4">
        <w:rPr>
          <w:lang w:val="en-US"/>
        </w:rPr>
        <w:t xml:space="preserve">Average cost for </w:t>
      </w:r>
      <w:r w:rsidR="00CD6D2B">
        <w:rPr>
          <w:lang w:val="en-US"/>
        </w:rPr>
        <w:t xml:space="preserve">2-day </w:t>
      </w:r>
      <w:r w:rsidR="00CD6D2B" w:rsidRPr="009C04A4">
        <w:rPr>
          <w:lang w:val="en-US"/>
        </w:rPr>
        <w:t xml:space="preserve">meetings </w:t>
      </w:r>
      <w:r w:rsidR="00CD6D2B">
        <w:rPr>
          <w:lang w:val="en-US"/>
        </w:rPr>
        <w:t xml:space="preserve">for 60 persons </w:t>
      </w:r>
      <w:r w:rsidR="00CD6D2B" w:rsidRPr="009C04A4">
        <w:rPr>
          <w:lang w:val="en-US"/>
        </w:rPr>
        <w:t xml:space="preserve">in </w:t>
      </w:r>
      <w:r w:rsidR="00CD6D2B">
        <w:rPr>
          <w:lang w:val="en-US"/>
        </w:rPr>
        <w:t xml:space="preserve">El </w:t>
      </w:r>
      <w:r w:rsidR="00CD6D2B" w:rsidRPr="009C04A4">
        <w:rPr>
          <w:lang w:val="en-US"/>
        </w:rPr>
        <w:t xml:space="preserve">Salvador is </w:t>
      </w:r>
      <w:r w:rsidR="00CD6D2B">
        <w:rPr>
          <w:lang w:val="en-US"/>
        </w:rPr>
        <w:t xml:space="preserve">US$ </w:t>
      </w:r>
      <w:r w:rsidR="00CD6D2B" w:rsidRPr="009C04A4">
        <w:rPr>
          <w:lang w:val="en-US"/>
        </w:rPr>
        <w:t>4</w:t>
      </w:r>
      <w:r w:rsidR="00CD6D2B">
        <w:rPr>
          <w:lang w:val="en-US"/>
        </w:rPr>
        <w:t>,</w:t>
      </w:r>
      <w:r w:rsidR="00CD6D2B" w:rsidRPr="009C04A4">
        <w:rPr>
          <w:lang w:val="en-US"/>
        </w:rPr>
        <w:t>000 per day</w:t>
      </w:r>
      <w:r w:rsidR="00CD6D2B">
        <w:rPr>
          <w:lang w:val="en-US"/>
        </w:rPr>
        <w:t xml:space="preserve">. Cost of meetings for 30 persons in </w:t>
      </w:r>
      <w:r w:rsidR="00CD6D2B" w:rsidRPr="009C04A4">
        <w:rPr>
          <w:lang w:val="en-US"/>
        </w:rPr>
        <w:t>Guatemala and Honduras</w:t>
      </w:r>
      <w:r w:rsidR="00CD6D2B">
        <w:rPr>
          <w:lang w:val="en-US"/>
        </w:rPr>
        <w:t xml:space="preserve"> is US$ 2,500.</w:t>
      </w:r>
      <w:r w:rsidR="00CD6D2B" w:rsidRPr="009C04A4">
        <w:rPr>
          <w:lang w:val="en-US"/>
        </w:rPr>
        <w:t xml:space="preserve"> </w:t>
      </w:r>
    </w:p>
    <w:p w14:paraId="3E0AB30E" w14:textId="5BCC715B" w:rsidR="00CD6D2B" w:rsidRPr="00D250CB" w:rsidRDefault="008E2F01"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These costs are estimated on the basis of local price lists </w:t>
      </w:r>
      <w:r w:rsidR="00AE47E3">
        <w:rPr>
          <w:lang w:val="en-US"/>
        </w:rPr>
        <w:t>established</w:t>
      </w:r>
      <w:r w:rsidR="00AE47E3" w:rsidRPr="009C04A4">
        <w:rPr>
          <w:lang w:val="en-US"/>
        </w:rPr>
        <w:t xml:space="preserve"> </w:t>
      </w:r>
      <w:r w:rsidRPr="009C04A4">
        <w:rPr>
          <w:lang w:val="en-US"/>
        </w:rPr>
        <w:t xml:space="preserve">by </w:t>
      </w:r>
      <w:r w:rsidR="00AE47E3">
        <w:rPr>
          <w:lang w:val="en-US"/>
        </w:rPr>
        <w:t xml:space="preserve">the </w:t>
      </w:r>
      <w:r w:rsidRPr="009C04A4">
        <w:rPr>
          <w:lang w:val="en-US"/>
        </w:rPr>
        <w:t xml:space="preserve">UNDP Country </w:t>
      </w:r>
      <w:r w:rsidR="00AE47E3">
        <w:rPr>
          <w:lang w:val="en-US"/>
        </w:rPr>
        <w:t xml:space="preserve">Offices on the basis of regular monitoring </w:t>
      </w:r>
      <w:r w:rsidR="001075EE">
        <w:rPr>
          <w:lang w:val="en-US"/>
        </w:rPr>
        <w:t xml:space="preserve">of </w:t>
      </w:r>
      <w:r w:rsidR="001075EE" w:rsidRPr="009C04A4">
        <w:rPr>
          <w:lang w:val="en-US"/>
        </w:rPr>
        <w:t>premise</w:t>
      </w:r>
      <w:r w:rsidR="00AE47E3" w:rsidRPr="009C04A4">
        <w:rPr>
          <w:lang w:val="en-US"/>
        </w:rPr>
        <w:t>/catering costs of events</w:t>
      </w:r>
      <w:r w:rsidR="001075EE">
        <w:rPr>
          <w:lang w:val="en-US"/>
        </w:rPr>
        <w:t xml:space="preserve"> funded by UNDP on each country</w:t>
      </w:r>
      <w:r w:rsidR="00AE47E3">
        <w:rPr>
          <w:lang w:val="en-US"/>
        </w:rPr>
        <w:t xml:space="preserve">. </w:t>
      </w:r>
      <w:r w:rsidR="00333EFF">
        <w:rPr>
          <w:lang w:val="en-US"/>
        </w:rPr>
        <w:t xml:space="preserve">The </w:t>
      </w:r>
      <w:r w:rsidR="00333EFF" w:rsidRPr="007F3B33">
        <w:rPr>
          <w:i/>
          <w:lang w:val="en-US"/>
        </w:rPr>
        <w:t xml:space="preserve">premise </w:t>
      </w:r>
      <w:r w:rsidR="00333EFF">
        <w:rPr>
          <w:lang w:val="en-US"/>
        </w:rPr>
        <w:t>costs</w:t>
      </w:r>
      <w:r w:rsidR="00AE47E3">
        <w:rPr>
          <w:lang w:val="en-US"/>
        </w:rPr>
        <w:t xml:space="preserve"> include meeting </w:t>
      </w:r>
      <w:r w:rsidR="00AE47E3" w:rsidRPr="009C04A4">
        <w:rPr>
          <w:lang w:val="en-US"/>
        </w:rPr>
        <w:t>room</w:t>
      </w:r>
      <w:r w:rsidR="00AE47E3">
        <w:rPr>
          <w:lang w:val="en-US"/>
        </w:rPr>
        <w:t>(s)</w:t>
      </w:r>
      <w:r w:rsidR="00AE47E3" w:rsidRPr="009C04A4">
        <w:rPr>
          <w:lang w:val="en-US"/>
        </w:rPr>
        <w:t xml:space="preserve">, </w:t>
      </w:r>
      <w:r w:rsidR="007F3B33">
        <w:rPr>
          <w:lang w:val="en-US"/>
        </w:rPr>
        <w:t xml:space="preserve">video and sound equipment, </w:t>
      </w:r>
      <w:r w:rsidR="00AE47E3" w:rsidRPr="009C04A4">
        <w:rPr>
          <w:lang w:val="en-US"/>
        </w:rPr>
        <w:t>microphone</w:t>
      </w:r>
      <w:r w:rsidR="001075EE">
        <w:rPr>
          <w:lang w:val="en-US"/>
        </w:rPr>
        <w:t>s</w:t>
      </w:r>
      <w:r w:rsidR="00AE47E3" w:rsidRPr="009C04A4">
        <w:rPr>
          <w:lang w:val="en-US"/>
        </w:rPr>
        <w:t xml:space="preserve">, </w:t>
      </w:r>
      <w:r w:rsidR="00AE47E3">
        <w:rPr>
          <w:lang w:val="en-US"/>
        </w:rPr>
        <w:t>furniture</w:t>
      </w:r>
      <w:r w:rsidR="001075EE">
        <w:rPr>
          <w:lang w:val="en-US"/>
        </w:rPr>
        <w:t xml:space="preserve">, </w:t>
      </w:r>
      <w:r w:rsidR="00AE47E3" w:rsidRPr="009C04A4">
        <w:rPr>
          <w:lang w:val="en-US"/>
        </w:rPr>
        <w:t xml:space="preserve">blackboards, </w:t>
      </w:r>
      <w:r w:rsidR="001075EE">
        <w:rPr>
          <w:lang w:val="en-US"/>
        </w:rPr>
        <w:t xml:space="preserve">stationary and </w:t>
      </w:r>
      <w:r w:rsidR="00AE47E3" w:rsidRPr="009C04A4">
        <w:rPr>
          <w:lang w:val="en-US"/>
        </w:rPr>
        <w:t>other</w:t>
      </w:r>
      <w:r w:rsidR="001075EE">
        <w:rPr>
          <w:lang w:val="en-US"/>
        </w:rPr>
        <w:t xml:space="preserve"> conference supplies</w:t>
      </w:r>
      <w:r w:rsidR="00F12E2C">
        <w:rPr>
          <w:lang w:val="en-US"/>
        </w:rPr>
        <w:t xml:space="preserve"> as well as basic support personnel</w:t>
      </w:r>
      <w:r w:rsidR="00AE47E3" w:rsidRPr="009C04A4">
        <w:rPr>
          <w:lang w:val="en-US"/>
        </w:rPr>
        <w:t xml:space="preserve">. </w:t>
      </w:r>
      <w:r w:rsidR="000D426D">
        <w:rPr>
          <w:lang w:val="en-US"/>
        </w:rPr>
        <w:t>National event</w:t>
      </w:r>
      <w:r w:rsidR="001075EE">
        <w:rPr>
          <w:lang w:val="en-US"/>
        </w:rPr>
        <w:t xml:space="preserve"> costs are calculated for an average of 30</w:t>
      </w:r>
      <w:r w:rsidR="00F12E2C">
        <w:rPr>
          <w:lang w:val="en-US"/>
        </w:rPr>
        <w:t xml:space="preserve"> </w:t>
      </w:r>
      <w:r w:rsidR="001075EE">
        <w:rPr>
          <w:lang w:val="en-US"/>
        </w:rPr>
        <w:t xml:space="preserve">persons in a three-star hotel. </w:t>
      </w:r>
      <w:r w:rsidR="000D426D">
        <w:rPr>
          <w:lang w:val="en-US"/>
        </w:rPr>
        <w:t>Regional events may be held in 4-star hotels and will include approximately 60 persons</w:t>
      </w:r>
      <w:r w:rsidR="00333EFF">
        <w:rPr>
          <w:lang w:val="en-US"/>
        </w:rPr>
        <w:t>. The catering costs include lunch and 2 coffee breaks/coffee stations.</w:t>
      </w:r>
    </w:p>
    <w:p w14:paraId="07E8FCB1" w14:textId="782F4344" w:rsidR="005F51F3" w:rsidRDefault="00CD6D2B" w:rsidP="009B77F6">
      <w:pPr>
        <w:pStyle w:val="ListParagraph"/>
        <w:spacing w:before="100" w:beforeAutospacing="1" w:after="100" w:afterAutospacing="1" w:line="240" w:lineRule="auto"/>
        <w:ind w:left="284"/>
        <w:contextualSpacing w:val="0"/>
        <w:jc w:val="both"/>
        <w:rPr>
          <w:lang w:val="en-US"/>
        </w:rPr>
      </w:pPr>
      <w:r w:rsidRPr="00F12E2C">
        <w:rPr>
          <w:lang w:val="en-US"/>
        </w:rPr>
        <w:t>In the cases of some national meetings</w:t>
      </w:r>
      <w:r w:rsidR="0083510B" w:rsidRPr="00F12E2C">
        <w:rPr>
          <w:lang w:val="en-US"/>
        </w:rPr>
        <w:t xml:space="preserve"> (e.g. National </w:t>
      </w:r>
      <w:r w:rsidR="00246BDB" w:rsidRPr="00F12E2C">
        <w:rPr>
          <w:lang w:val="en-US"/>
        </w:rPr>
        <w:t>Identification and Engagement of Allies, BL 108)</w:t>
      </w:r>
      <w:r w:rsidRPr="00F12E2C">
        <w:rPr>
          <w:lang w:val="en-US"/>
        </w:rPr>
        <w:t xml:space="preserve">, the cost only includes catering and basic conference equipment since </w:t>
      </w:r>
      <w:r w:rsidR="00F12E2C">
        <w:rPr>
          <w:lang w:val="en-US"/>
        </w:rPr>
        <w:t>the premises will be provided by national stakeholders</w:t>
      </w:r>
      <w:r w:rsidRPr="00F12E2C">
        <w:rPr>
          <w:lang w:val="en-US"/>
        </w:rPr>
        <w:t>.</w:t>
      </w:r>
      <w:r w:rsidRPr="009C04A4">
        <w:rPr>
          <w:lang w:val="en-US"/>
        </w:rPr>
        <w:t xml:space="preserve"> </w:t>
      </w:r>
      <w:r w:rsidR="0083510B">
        <w:rPr>
          <w:lang w:val="en-US"/>
        </w:rPr>
        <w:t xml:space="preserve"> In these cases, the average catering </w:t>
      </w:r>
      <w:r w:rsidR="0012242A">
        <w:rPr>
          <w:lang w:val="en-US"/>
        </w:rPr>
        <w:t xml:space="preserve">and equipment costs are </w:t>
      </w:r>
      <w:r w:rsidR="0012242A" w:rsidRPr="00126AAF">
        <w:rPr>
          <w:lang w:val="en-US"/>
        </w:rPr>
        <w:t>US$ 592 per day.</w:t>
      </w:r>
    </w:p>
    <w:p w14:paraId="29EB68D6" w14:textId="56836CFA" w:rsidR="00297390" w:rsidRDefault="0046261E" w:rsidP="009B77F6">
      <w:pPr>
        <w:pStyle w:val="ListParagraph"/>
        <w:spacing w:before="100" w:beforeAutospacing="1" w:after="100" w:afterAutospacing="1" w:line="240" w:lineRule="auto"/>
        <w:ind w:left="284"/>
        <w:contextualSpacing w:val="0"/>
        <w:jc w:val="both"/>
        <w:rPr>
          <w:lang w:val="en-US"/>
        </w:rPr>
      </w:pPr>
      <w:r>
        <w:rPr>
          <w:lang w:val="en-US"/>
        </w:rPr>
        <w:t>Please refer to p</w:t>
      </w:r>
      <w:r w:rsidR="00297390">
        <w:rPr>
          <w:lang w:val="en-US"/>
        </w:rPr>
        <w:t xml:space="preserve">p. 6-7 </w:t>
      </w:r>
      <w:r>
        <w:rPr>
          <w:lang w:val="en-US"/>
        </w:rPr>
        <w:t xml:space="preserve">of the Budget Narrative for the detailed </w:t>
      </w:r>
      <w:r w:rsidR="00297390">
        <w:rPr>
          <w:lang w:val="en-US"/>
        </w:rPr>
        <w:t>breakdown of workshop costs.</w:t>
      </w:r>
    </w:p>
    <w:p w14:paraId="4EE45DD1" w14:textId="77777777" w:rsidR="00C503CF" w:rsidRDefault="00C503CF" w:rsidP="009B77F6">
      <w:pPr>
        <w:pStyle w:val="ListParagraph"/>
        <w:spacing w:before="100" w:beforeAutospacing="1" w:after="100" w:afterAutospacing="1" w:line="240" w:lineRule="auto"/>
        <w:ind w:left="284"/>
        <w:contextualSpacing w:val="0"/>
        <w:jc w:val="both"/>
        <w:rPr>
          <w:lang w:val="en-US"/>
        </w:rPr>
      </w:pPr>
    </w:p>
    <w:p w14:paraId="04C0B402" w14:textId="77777777" w:rsidR="00FB4245" w:rsidRDefault="00FB4245" w:rsidP="009B77F6">
      <w:pPr>
        <w:pStyle w:val="ListParagraph"/>
        <w:spacing w:before="100" w:beforeAutospacing="1" w:after="100" w:afterAutospacing="1" w:line="240" w:lineRule="auto"/>
        <w:ind w:left="284"/>
        <w:contextualSpacing w:val="0"/>
        <w:jc w:val="both"/>
        <w:rPr>
          <w:lang w:val="en-US"/>
        </w:rPr>
      </w:pPr>
    </w:p>
    <w:p w14:paraId="5AC30C70" w14:textId="0F94EDC5" w:rsidR="00C503CF" w:rsidRDefault="00C503CF" w:rsidP="009B77F6">
      <w:pPr>
        <w:pStyle w:val="Caption"/>
        <w:spacing w:before="100" w:beforeAutospacing="1" w:after="100" w:afterAutospacing="1"/>
        <w:jc w:val="both"/>
        <w:rPr>
          <w:lang w:val="en-US"/>
        </w:rPr>
      </w:pPr>
      <w:r>
        <w:rPr>
          <w:lang w:val="en-US"/>
        </w:rPr>
        <w:t xml:space="preserve">Table I. </w:t>
      </w:r>
      <w:r w:rsidR="00BF5D1A">
        <w:rPr>
          <w:lang w:val="en-US"/>
        </w:rPr>
        <w:t xml:space="preserve">Breakdown of Workshop </w:t>
      </w:r>
      <w:r>
        <w:rPr>
          <w:lang w:val="en-US"/>
        </w:rPr>
        <w:t xml:space="preserve">Estimated Average costs per type. </w:t>
      </w:r>
    </w:p>
    <w:tbl>
      <w:tblPr>
        <w:tblStyle w:val="MediumGrid3-Accent1"/>
        <w:tblW w:w="0" w:type="auto"/>
        <w:tblInd w:w="0" w:type="dxa"/>
        <w:tblLook w:val="04A0" w:firstRow="1" w:lastRow="0" w:firstColumn="1" w:lastColumn="0" w:noHBand="0" w:noVBand="1"/>
      </w:tblPr>
      <w:tblGrid>
        <w:gridCol w:w="1359"/>
        <w:gridCol w:w="859"/>
        <w:gridCol w:w="990"/>
        <w:gridCol w:w="902"/>
        <w:gridCol w:w="843"/>
        <w:gridCol w:w="856"/>
        <w:gridCol w:w="1075"/>
        <w:gridCol w:w="1401"/>
      </w:tblGrid>
      <w:tr w:rsidR="00BF5D1A" w14:paraId="0B156C5E" w14:textId="77777777" w:rsidTr="00BF5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hideMark/>
          </w:tcPr>
          <w:p w14:paraId="07C11037" w14:textId="77777777" w:rsidR="00BF5D1A" w:rsidRDefault="00BF5D1A" w:rsidP="009B77F6">
            <w:pPr>
              <w:pStyle w:val="ListParagraph"/>
              <w:spacing w:before="100" w:beforeAutospacing="1" w:after="100" w:afterAutospacing="1"/>
              <w:ind w:left="0"/>
              <w:jc w:val="both"/>
              <w:rPr>
                <w:sz w:val="16"/>
                <w:szCs w:val="16"/>
                <w:lang w:val="en-US"/>
              </w:rPr>
            </w:pPr>
            <w:r>
              <w:rPr>
                <w:sz w:val="16"/>
                <w:szCs w:val="16"/>
                <w:lang w:val="en-US"/>
              </w:rPr>
              <w:t>Type of Workshop</w:t>
            </w:r>
          </w:p>
        </w:tc>
        <w:tc>
          <w:tcPr>
            <w:tcW w:w="859" w:type="dxa"/>
            <w:hideMark/>
          </w:tcPr>
          <w:p w14:paraId="1497B432"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No. Persons</w:t>
            </w:r>
          </w:p>
        </w:tc>
        <w:tc>
          <w:tcPr>
            <w:tcW w:w="990" w:type="dxa"/>
            <w:hideMark/>
          </w:tcPr>
          <w:p w14:paraId="1AE8AE12"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Country</w:t>
            </w:r>
          </w:p>
        </w:tc>
        <w:tc>
          <w:tcPr>
            <w:tcW w:w="902" w:type="dxa"/>
            <w:hideMark/>
          </w:tcPr>
          <w:p w14:paraId="6B6A9C16"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Estimated Days</w:t>
            </w:r>
          </w:p>
        </w:tc>
        <w:tc>
          <w:tcPr>
            <w:tcW w:w="843" w:type="dxa"/>
            <w:hideMark/>
          </w:tcPr>
          <w:p w14:paraId="73F2F6FE"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Average Rate</w:t>
            </w:r>
          </w:p>
        </w:tc>
        <w:tc>
          <w:tcPr>
            <w:tcW w:w="856" w:type="dxa"/>
            <w:hideMark/>
          </w:tcPr>
          <w:p w14:paraId="03C097D5"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Aver No. Coffee Breaks</w:t>
            </w:r>
          </w:p>
        </w:tc>
        <w:tc>
          <w:tcPr>
            <w:tcW w:w="1075" w:type="dxa"/>
            <w:hideMark/>
          </w:tcPr>
          <w:p w14:paraId="0E8D6B19"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Aver No. Lunch</w:t>
            </w:r>
          </w:p>
        </w:tc>
        <w:tc>
          <w:tcPr>
            <w:tcW w:w="1401" w:type="dxa"/>
            <w:hideMark/>
          </w:tcPr>
          <w:p w14:paraId="625251B5" w14:textId="77777777" w:rsidR="00BF5D1A" w:rsidRDefault="00BF5D1A"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Premise Includes</w:t>
            </w:r>
          </w:p>
        </w:tc>
      </w:tr>
      <w:tr w:rsidR="00BF5D1A" w:rsidRPr="00DC1C0A" w14:paraId="3B5CD37D" w14:textId="77777777" w:rsidTr="00BF5D1A">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359" w:type="dxa"/>
            <w:vMerge w:val="restart"/>
            <w:tcBorders>
              <w:bottom w:val="nil"/>
            </w:tcBorders>
            <w:hideMark/>
          </w:tcPr>
          <w:p w14:paraId="4FEAFCEF" w14:textId="77777777" w:rsidR="00BF5D1A" w:rsidRDefault="00BF5D1A" w:rsidP="009B77F6">
            <w:pPr>
              <w:pStyle w:val="ListParagraph"/>
              <w:spacing w:before="100" w:beforeAutospacing="1" w:after="100" w:afterAutospacing="1"/>
              <w:ind w:left="0"/>
              <w:jc w:val="both"/>
              <w:rPr>
                <w:sz w:val="16"/>
                <w:szCs w:val="16"/>
                <w:lang w:val="en-US"/>
              </w:rPr>
            </w:pPr>
            <w:r>
              <w:rPr>
                <w:sz w:val="16"/>
                <w:szCs w:val="16"/>
                <w:lang w:val="en-US"/>
              </w:rPr>
              <w:t>Regional Conferences</w:t>
            </w:r>
          </w:p>
        </w:tc>
        <w:tc>
          <w:tcPr>
            <w:tcW w:w="859" w:type="dxa"/>
            <w:hideMark/>
          </w:tcPr>
          <w:p w14:paraId="04F62BCD"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30 </w:t>
            </w:r>
          </w:p>
        </w:tc>
        <w:tc>
          <w:tcPr>
            <w:tcW w:w="990" w:type="dxa"/>
            <w:hideMark/>
          </w:tcPr>
          <w:p w14:paraId="72FB1C2E"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El Salvador</w:t>
            </w:r>
          </w:p>
        </w:tc>
        <w:tc>
          <w:tcPr>
            <w:tcW w:w="902" w:type="dxa"/>
            <w:hideMark/>
          </w:tcPr>
          <w:p w14:paraId="26750035"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2</w:t>
            </w:r>
          </w:p>
        </w:tc>
        <w:tc>
          <w:tcPr>
            <w:tcW w:w="843" w:type="dxa"/>
          </w:tcPr>
          <w:p w14:paraId="7195AF84"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U$ 4000 per day </w:t>
            </w:r>
          </w:p>
          <w:p w14:paraId="167B58FC"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856" w:type="dxa"/>
            <w:hideMark/>
          </w:tcPr>
          <w:p w14:paraId="5BDF6831"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60</w:t>
            </w:r>
          </w:p>
        </w:tc>
        <w:tc>
          <w:tcPr>
            <w:tcW w:w="1075" w:type="dxa"/>
            <w:hideMark/>
          </w:tcPr>
          <w:p w14:paraId="24AD0149"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30</w:t>
            </w:r>
          </w:p>
        </w:tc>
        <w:tc>
          <w:tcPr>
            <w:tcW w:w="1401" w:type="dxa"/>
            <w:vMerge w:val="restart"/>
            <w:tcBorders>
              <w:bottom w:val="single" w:sz="6" w:space="0" w:color="FFFFFF" w:themeColor="background1"/>
            </w:tcBorders>
            <w:hideMark/>
          </w:tcPr>
          <w:p w14:paraId="1C170D10"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Meeting room(s), video and sound equipment, microphones, furniture, blackboards, stationary and other conference supplies</w:t>
            </w:r>
          </w:p>
        </w:tc>
      </w:tr>
      <w:tr w:rsidR="00BF5D1A" w14:paraId="44694C7E" w14:textId="77777777" w:rsidTr="00C503CF">
        <w:trPr>
          <w:trHeight w:val="128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FFFFFF" w:themeColor="background1"/>
              <w:bottom w:val="nil"/>
            </w:tcBorders>
            <w:vAlign w:val="center"/>
            <w:hideMark/>
          </w:tcPr>
          <w:p w14:paraId="732A307C" w14:textId="77777777" w:rsidR="00BF5D1A" w:rsidRDefault="00BF5D1A" w:rsidP="009B77F6">
            <w:pPr>
              <w:spacing w:before="100" w:beforeAutospacing="1" w:after="100" w:afterAutospacing="1"/>
              <w:rPr>
                <w:sz w:val="16"/>
                <w:szCs w:val="16"/>
                <w:lang w:val="en-US"/>
              </w:rPr>
            </w:pPr>
          </w:p>
        </w:tc>
        <w:tc>
          <w:tcPr>
            <w:tcW w:w="8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3492E93A"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45+</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030A2A5E"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El Salvador</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380818E3"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2-3</w:t>
            </w:r>
          </w:p>
        </w:tc>
        <w:tc>
          <w:tcPr>
            <w:tcW w:w="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29AF93E9" w14:textId="4DE4F322" w:rsidR="00BF5D1A" w:rsidRDefault="00BF5D1A" w:rsidP="00BF5D1A">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U$ </w:t>
            </w:r>
            <w:r>
              <w:rPr>
                <w:sz w:val="16"/>
                <w:szCs w:val="16"/>
                <w:lang w:val="en-US"/>
              </w:rPr>
              <w:t>6750</w:t>
            </w:r>
            <w:r>
              <w:rPr>
                <w:sz w:val="16"/>
                <w:szCs w:val="16"/>
                <w:lang w:val="en-US"/>
              </w:rPr>
              <w:t xml:space="preserve"> </w:t>
            </w:r>
            <w:r>
              <w:rPr>
                <w:sz w:val="16"/>
                <w:szCs w:val="16"/>
                <w:lang w:val="en-US"/>
              </w:rPr>
              <w:t>per day</w:t>
            </w:r>
          </w:p>
        </w:tc>
        <w:tc>
          <w:tcPr>
            <w:tcW w:w="8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178061EA"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90+</w:t>
            </w:r>
          </w:p>
        </w:tc>
        <w:tc>
          <w:tcPr>
            <w:tcW w:w="10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33391112"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45+</w:t>
            </w:r>
          </w:p>
        </w:tc>
        <w:tc>
          <w:tcPr>
            <w:tcW w:w="0" w:type="auto"/>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2F50A8D2" w14:textId="77777777" w:rsidR="00BF5D1A" w:rsidRDefault="00BF5D1A" w:rsidP="009B77F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BF5D1A" w:rsidRPr="00DC1C0A" w14:paraId="16C219F1" w14:textId="77777777" w:rsidTr="00BF5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Borders>
              <w:bottom w:val="nil"/>
            </w:tcBorders>
            <w:hideMark/>
          </w:tcPr>
          <w:p w14:paraId="16A84D33" w14:textId="77777777" w:rsidR="00BF5D1A" w:rsidRDefault="00BF5D1A" w:rsidP="009B77F6">
            <w:pPr>
              <w:pStyle w:val="ListParagraph"/>
              <w:spacing w:before="100" w:beforeAutospacing="1" w:after="100" w:afterAutospacing="1"/>
              <w:ind w:left="0"/>
              <w:jc w:val="both"/>
              <w:rPr>
                <w:sz w:val="16"/>
                <w:szCs w:val="16"/>
                <w:lang w:val="en-US"/>
              </w:rPr>
            </w:pPr>
            <w:r>
              <w:rPr>
                <w:sz w:val="16"/>
                <w:szCs w:val="16"/>
                <w:lang w:val="en-US"/>
              </w:rPr>
              <w:t>National Conferences</w:t>
            </w:r>
          </w:p>
        </w:tc>
        <w:tc>
          <w:tcPr>
            <w:tcW w:w="859" w:type="dxa"/>
            <w:hideMark/>
          </w:tcPr>
          <w:p w14:paraId="51A665AF"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30+</w:t>
            </w:r>
          </w:p>
        </w:tc>
        <w:tc>
          <w:tcPr>
            <w:tcW w:w="990" w:type="dxa"/>
            <w:hideMark/>
          </w:tcPr>
          <w:p w14:paraId="7797C157"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Honduras</w:t>
            </w:r>
          </w:p>
          <w:p w14:paraId="13E10D7C"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Guatemala</w:t>
            </w:r>
          </w:p>
          <w:p w14:paraId="3BCF10A9"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Panamá</w:t>
            </w:r>
          </w:p>
        </w:tc>
        <w:tc>
          <w:tcPr>
            <w:tcW w:w="902" w:type="dxa"/>
            <w:hideMark/>
          </w:tcPr>
          <w:p w14:paraId="11BEE93B"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2</w:t>
            </w:r>
          </w:p>
        </w:tc>
        <w:tc>
          <w:tcPr>
            <w:tcW w:w="843" w:type="dxa"/>
            <w:hideMark/>
          </w:tcPr>
          <w:p w14:paraId="64063AFF"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U$ 2500 per day</w:t>
            </w:r>
          </w:p>
        </w:tc>
        <w:tc>
          <w:tcPr>
            <w:tcW w:w="856" w:type="dxa"/>
            <w:hideMark/>
          </w:tcPr>
          <w:p w14:paraId="7C9B67A1"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30+</w:t>
            </w:r>
          </w:p>
        </w:tc>
        <w:tc>
          <w:tcPr>
            <w:tcW w:w="1075" w:type="dxa"/>
            <w:hideMark/>
          </w:tcPr>
          <w:p w14:paraId="70E39128"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30+</w:t>
            </w:r>
          </w:p>
        </w:tc>
        <w:tc>
          <w:tcPr>
            <w:tcW w:w="1401" w:type="dxa"/>
            <w:hideMark/>
          </w:tcPr>
          <w:p w14:paraId="6544AD88" w14:textId="77777777" w:rsidR="00BF5D1A" w:rsidRDefault="00BF5D1A"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Meeting room(s), video and sound equipment, microphones, furniture, blackboards, stationary and other conference supplies</w:t>
            </w:r>
          </w:p>
        </w:tc>
      </w:tr>
      <w:tr w:rsidR="00BF5D1A" w:rsidRPr="00DC1C0A" w14:paraId="3409A26A" w14:textId="77777777" w:rsidTr="00BF5D1A">
        <w:tc>
          <w:tcPr>
            <w:cnfStyle w:val="001000000000" w:firstRow="0" w:lastRow="0" w:firstColumn="1" w:lastColumn="0" w:oddVBand="0" w:evenVBand="0" w:oddHBand="0" w:evenHBand="0" w:firstRowFirstColumn="0" w:firstRowLastColumn="0" w:lastRowFirstColumn="0" w:lastRowLastColumn="0"/>
            <w:tcW w:w="1359" w:type="dxa"/>
            <w:tcBorders>
              <w:top w:val="single" w:sz="6" w:space="0" w:color="FFFFFF" w:themeColor="background1"/>
              <w:bottom w:val="single" w:sz="8" w:space="0" w:color="FFFFFF" w:themeColor="background1"/>
            </w:tcBorders>
            <w:hideMark/>
          </w:tcPr>
          <w:p w14:paraId="2F69FCBB" w14:textId="77E5AF3E" w:rsidR="00BF5D1A" w:rsidRDefault="00BF5D1A" w:rsidP="009B77F6">
            <w:pPr>
              <w:pStyle w:val="ListParagraph"/>
              <w:spacing w:before="100" w:beforeAutospacing="1" w:after="100" w:afterAutospacing="1"/>
              <w:ind w:left="0"/>
              <w:jc w:val="both"/>
              <w:rPr>
                <w:sz w:val="16"/>
                <w:szCs w:val="16"/>
                <w:lang w:val="en-US"/>
              </w:rPr>
            </w:pPr>
            <w:r>
              <w:rPr>
                <w:sz w:val="16"/>
                <w:szCs w:val="16"/>
                <w:lang w:val="en-US"/>
              </w:rPr>
              <w:t>National Meetings (Within CSO/inst</w:t>
            </w:r>
            <w:r>
              <w:rPr>
                <w:sz w:val="16"/>
                <w:szCs w:val="16"/>
                <w:lang w:val="en-US"/>
              </w:rPr>
              <w:t>itutions</w:t>
            </w:r>
            <w:r>
              <w:rPr>
                <w:sz w:val="16"/>
                <w:szCs w:val="16"/>
                <w:lang w:val="en-US"/>
              </w:rPr>
              <w:t>)</w:t>
            </w:r>
          </w:p>
        </w:tc>
        <w:tc>
          <w:tcPr>
            <w:tcW w:w="859"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10116508"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15+</w:t>
            </w:r>
          </w:p>
        </w:tc>
        <w:tc>
          <w:tcPr>
            <w:tcW w:w="99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065DA83F"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Salvador</w:t>
            </w:r>
          </w:p>
          <w:p w14:paraId="520C1F2D"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Honduras </w:t>
            </w:r>
          </w:p>
          <w:p w14:paraId="3614D438"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Guatemala</w:t>
            </w:r>
          </w:p>
          <w:p w14:paraId="581E3E23"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Panamá</w:t>
            </w:r>
          </w:p>
        </w:tc>
        <w:tc>
          <w:tcPr>
            <w:tcW w:w="90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1B429DBB"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1-2</w:t>
            </w:r>
          </w:p>
        </w:tc>
        <w:tc>
          <w:tcPr>
            <w:tcW w:w="843"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65A9E0AE"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U$ 592 Per day</w:t>
            </w:r>
          </w:p>
        </w:tc>
        <w:tc>
          <w:tcPr>
            <w:tcW w:w="85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1D1BD225"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30+</w:t>
            </w:r>
          </w:p>
        </w:tc>
        <w:tc>
          <w:tcPr>
            <w:tcW w:w="107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4F59A191"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15+</w:t>
            </w:r>
          </w:p>
        </w:tc>
        <w:tc>
          <w:tcPr>
            <w:tcW w:w="1401"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3C98267F" w14:textId="77777777" w:rsidR="00BF5D1A" w:rsidRDefault="00BF5D1A"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Catering and basic conference equipment (video and sound equipment).</w:t>
            </w:r>
          </w:p>
        </w:tc>
      </w:tr>
    </w:tbl>
    <w:p w14:paraId="29EFEDB9" w14:textId="77777777" w:rsidR="00C503CF" w:rsidRPr="009C04A4" w:rsidRDefault="00C503CF" w:rsidP="009B77F6">
      <w:pPr>
        <w:pStyle w:val="ListParagraph"/>
        <w:spacing w:before="100" w:beforeAutospacing="1" w:after="100" w:afterAutospacing="1" w:line="240" w:lineRule="auto"/>
        <w:ind w:left="284"/>
        <w:contextualSpacing w:val="0"/>
        <w:jc w:val="both"/>
        <w:rPr>
          <w:lang w:val="en-US"/>
        </w:rPr>
      </w:pPr>
    </w:p>
    <w:p w14:paraId="0613DDE4" w14:textId="6789A13F" w:rsidR="00E52353" w:rsidRPr="00D250CB" w:rsidRDefault="00EA164B"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t>Please provide cost breakdown and what does the item include in the Publications and campaign line item.</w:t>
      </w:r>
    </w:p>
    <w:p w14:paraId="164D29B2" w14:textId="34CD98C8" w:rsidR="00E401DB" w:rsidRDefault="0012242A" w:rsidP="009B77F6">
      <w:pPr>
        <w:pStyle w:val="ListParagraph"/>
        <w:spacing w:before="100" w:beforeAutospacing="1" w:after="100" w:afterAutospacing="1" w:line="240" w:lineRule="auto"/>
        <w:ind w:left="284"/>
        <w:contextualSpacing w:val="0"/>
        <w:jc w:val="both"/>
        <w:rPr>
          <w:lang w:val="en-US"/>
        </w:rPr>
      </w:pPr>
      <w:r>
        <w:rPr>
          <w:lang w:val="en-US"/>
        </w:rPr>
        <w:t>The cost of publications</w:t>
      </w:r>
      <w:r w:rsidR="00AD30BC">
        <w:rPr>
          <w:lang w:val="en-US"/>
        </w:rPr>
        <w:t xml:space="preserve"> will include </w:t>
      </w:r>
      <w:r w:rsidR="00FB4245">
        <w:rPr>
          <w:lang w:val="en-US"/>
        </w:rPr>
        <w:t>9</w:t>
      </w:r>
      <w:r w:rsidR="00FB4245">
        <w:rPr>
          <w:lang w:val="en-US"/>
        </w:rPr>
        <w:t xml:space="preserve"> </w:t>
      </w:r>
      <w:r w:rsidR="00AD30BC">
        <w:rPr>
          <w:lang w:val="en-US"/>
        </w:rPr>
        <w:t>publications</w:t>
      </w:r>
      <w:r w:rsidR="00FB4245" w:rsidRPr="002F3787">
        <w:rPr>
          <w:lang w:val="en-US"/>
        </w:rPr>
        <w:t xml:space="preserve"> </w:t>
      </w:r>
      <w:r w:rsidR="00FB4245" w:rsidRPr="00FB4245">
        <w:rPr>
          <w:lang w:val="en-US"/>
        </w:rPr>
        <w:t>on issues related to youth, gender, quality of data, emerging crimes</w:t>
      </w:r>
      <w:r w:rsidR="00FB4245">
        <w:rPr>
          <w:lang w:val="en-US"/>
        </w:rPr>
        <w:t xml:space="preserve"> among others. </w:t>
      </w:r>
      <w:r w:rsidR="00F01660" w:rsidRPr="009C04A4">
        <w:rPr>
          <w:lang w:val="en-US"/>
        </w:rPr>
        <w:t xml:space="preserve">Publications and </w:t>
      </w:r>
      <w:r>
        <w:rPr>
          <w:lang w:val="en-US"/>
        </w:rPr>
        <w:t xml:space="preserve">campaign item will </w:t>
      </w:r>
      <w:r w:rsidR="00F01660" w:rsidRPr="009C04A4">
        <w:rPr>
          <w:lang w:val="en-US"/>
        </w:rPr>
        <w:t xml:space="preserve">cover the cost of printed material </w:t>
      </w:r>
      <w:r w:rsidR="00F01660" w:rsidRPr="0012242A">
        <w:rPr>
          <w:b/>
          <w:lang w:val="en-US"/>
        </w:rPr>
        <w:t xml:space="preserve">not </w:t>
      </w:r>
      <w:r w:rsidR="00F01660" w:rsidRPr="009C04A4">
        <w:rPr>
          <w:lang w:val="en-US"/>
        </w:rPr>
        <w:t>included in the sub-grants</w:t>
      </w:r>
      <w:r w:rsidR="00E4048E">
        <w:rPr>
          <w:lang w:val="en-US"/>
        </w:rPr>
        <w:t xml:space="preserve"> </w:t>
      </w:r>
      <w:r w:rsidR="007A07C9">
        <w:rPr>
          <w:lang w:val="en-US"/>
        </w:rPr>
        <w:t xml:space="preserve">and </w:t>
      </w:r>
      <w:r>
        <w:rPr>
          <w:lang w:val="en-US"/>
        </w:rPr>
        <w:t xml:space="preserve">will </w:t>
      </w:r>
      <w:r w:rsidR="00801336">
        <w:rPr>
          <w:lang w:val="en-US"/>
        </w:rPr>
        <w:t>include</w:t>
      </w:r>
      <w:r w:rsidR="00E401DB">
        <w:rPr>
          <w:lang w:val="en-US"/>
        </w:rPr>
        <w:t xml:space="preserve"> the P</w:t>
      </w:r>
      <w:r w:rsidR="00F01660" w:rsidRPr="009C04A4">
        <w:rPr>
          <w:lang w:val="en-US"/>
        </w:rPr>
        <w:t xml:space="preserve">roduction of Monthly Citizen </w:t>
      </w:r>
      <w:r w:rsidR="00907B48">
        <w:rPr>
          <w:lang w:val="en-US"/>
        </w:rPr>
        <w:t>R</w:t>
      </w:r>
      <w:r w:rsidR="00F01660" w:rsidRPr="009C04A4">
        <w:rPr>
          <w:lang w:val="en-US"/>
        </w:rPr>
        <w:t xml:space="preserve">eports and </w:t>
      </w:r>
      <w:r w:rsidR="00907B48">
        <w:rPr>
          <w:lang w:val="en-US"/>
        </w:rPr>
        <w:t>P</w:t>
      </w:r>
      <w:r w:rsidR="00F01660" w:rsidRPr="009C04A4">
        <w:rPr>
          <w:lang w:val="en-US"/>
        </w:rPr>
        <w:t>ublications</w:t>
      </w:r>
      <w:r w:rsidR="00E401DB">
        <w:rPr>
          <w:lang w:val="en-US"/>
        </w:rPr>
        <w:t xml:space="preserve"> - </w:t>
      </w:r>
      <w:r w:rsidR="00E401DB" w:rsidRPr="009C04A4">
        <w:rPr>
          <w:lang w:val="en-US"/>
        </w:rPr>
        <w:t>US$ 135,000 (Item 5. Other Direct Costs, Lines 120-121)</w:t>
      </w:r>
      <w:r w:rsidR="00E401DB">
        <w:rPr>
          <w:lang w:val="en-US"/>
        </w:rPr>
        <w:t>;</w:t>
      </w:r>
    </w:p>
    <w:p w14:paraId="60693409" w14:textId="54ED1759" w:rsidR="00F01660" w:rsidRPr="009C04A4" w:rsidRDefault="00F01660"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w:t>
      </w:r>
      <w:r w:rsidR="006368D8">
        <w:rPr>
          <w:lang w:val="en-US"/>
        </w:rPr>
        <w:t xml:space="preserve">US$ 15,000 </w:t>
      </w:r>
      <w:r w:rsidR="00594B5D">
        <w:rPr>
          <w:lang w:val="en-US"/>
        </w:rPr>
        <w:t xml:space="preserve">under </w:t>
      </w:r>
      <w:r w:rsidRPr="009C04A4">
        <w:rPr>
          <w:lang w:val="en-US"/>
        </w:rPr>
        <w:t xml:space="preserve">Line 120 - Monthly Citizen Reports </w:t>
      </w:r>
      <w:r w:rsidR="00594B5D">
        <w:rPr>
          <w:lang w:val="en-US"/>
        </w:rPr>
        <w:t>–</w:t>
      </w:r>
      <w:r w:rsidR="00801336">
        <w:rPr>
          <w:lang w:val="en-US"/>
        </w:rPr>
        <w:t xml:space="preserve"> </w:t>
      </w:r>
      <w:r w:rsidR="006368D8">
        <w:rPr>
          <w:lang w:val="en-US"/>
        </w:rPr>
        <w:t xml:space="preserve">will </w:t>
      </w:r>
      <w:r w:rsidRPr="009C04A4">
        <w:rPr>
          <w:lang w:val="en-US"/>
        </w:rPr>
        <w:t xml:space="preserve">cover the printing of the regional analytical compilation of the monthly citizen e-reports in the first and the second year (500 copies in year 1 and 1000 in the year 2). </w:t>
      </w:r>
    </w:p>
    <w:p w14:paraId="35E5F20B" w14:textId="7560CCF6" w:rsidR="00317469" w:rsidRDefault="00F01660"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w:t>
      </w:r>
      <w:r w:rsidR="006368D8">
        <w:rPr>
          <w:lang w:val="en-US"/>
        </w:rPr>
        <w:t>US</w:t>
      </w:r>
      <w:r w:rsidR="00594B5D">
        <w:rPr>
          <w:lang w:val="en-US"/>
        </w:rPr>
        <w:t xml:space="preserve">$ </w:t>
      </w:r>
      <w:r w:rsidR="006368D8">
        <w:rPr>
          <w:lang w:val="en-US"/>
        </w:rPr>
        <w:t>120,000</w:t>
      </w:r>
      <w:r w:rsidR="00594B5D">
        <w:rPr>
          <w:lang w:val="en-US"/>
        </w:rPr>
        <w:t xml:space="preserve"> </w:t>
      </w:r>
      <w:r w:rsidRPr="009C04A4">
        <w:rPr>
          <w:lang w:val="en-US"/>
        </w:rPr>
        <w:t xml:space="preserve">under the Line 121 </w:t>
      </w:r>
      <w:r w:rsidR="00594B5D">
        <w:rPr>
          <w:lang w:val="en-US"/>
        </w:rPr>
        <w:t xml:space="preserve">– Publications </w:t>
      </w:r>
      <w:r w:rsidRPr="009C04A4">
        <w:rPr>
          <w:lang w:val="en-US"/>
        </w:rPr>
        <w:t>will cover the cost of graphic design, formatting and printing of 6 state-of-art publications on issues related to youth, gender, quality of data, emerging crimes, etc. Following the request from CECI these funds will cover the costs of 4 publications planned by OBSICA-CECI. Finally, these funds will cover 2 OBSICA publications, one in year 1, and one in year 2.</w:t>
      </w:r>
    </w:p>
    <w:p w14:paraId="6AC4BA16" w14:textId="2420A107" w:rsidR="009B6436" w:rsidRDefault="00317469" w:rsidP="009B77F6">
      <w:pPr>
        <w:pStyle w:val="ListParagraph"/>
        <w:spacing w:before="100" w:beforeAutospacing="1" w:after="100" w:afterAutospacing="1" w:line="240" w:lineRule="auto"/>
        <w:ind w:left="284"/>
        <w:contextualSpacing w:val="0"/>
        <w:jc w:val="both"/>
        <w:rPr>
          <w:lang w:val="en-US"/>
        </w:rPr>
      </w:pPr>
      <w:r w:rsidRPr="009C04A4">
        <w:rPr>
          <w:lang w:val="en-US"/>
        </w:rPr>
        <w:lastRenderedPageBreak/>
        <w:t>Factsheets, policy papers and baselines will be published online in PDF format and distributed throu</w:t>
      </w:r>
      <w:r w:rsidR="00EF73BD">
        <w:rPr>
          <w:lang w:val="en-US"/>
        </w:rPr>
        <w:t xml:space="preserve">gh the ROC platform and website, therefore </w:t>
      </w:r>
      <w:r w:rsidR="00907B48">
        <w:rPr>
          <w:lang w:val="en-US"/>
        </w:rPr>
        <w:t xml:space="preserve">publishing and dissemination costs for these products </w:t>
      </w:r>
      <w:r w:rsidR="00EF73BD">
        <w:rPr>
          <w:lang w:val="en-US"/>
        </w:rPr>
        <w:t xml:space="preserve">are not </w:t>
      </w:r>
      <w:r w:rsidR="00907B48">
        <w:rPr>
          <w:lang w:val="en-US"/>
        </w:rPr>
        <w:t>included in the project budget</w:t>
      </w:r>
      <w:r w:rsidR="00EF73BD">
        <w:rPr>
          <w:lang w:val="en-US"/>
        </w:rPr>
        <w:t>.</w:t>
      </w:r>
    </w:p>
    <w:p w14:paraId="3735E719" w14:textId="3E57E828" w:rsidR="00C503CF" w:rsidRDefault="00C503CF" w:rsidP="009B77F6">
      <w:pPr>
        <w:pStyle w:val="Caption"/>
        <w:spacing w:before="100" w:beforeAutospacing="1" w:after="100" w:afterAutospacing="1"/>
        <w:jc w:val="both"/>
        <w:rPr>
          <w:lang w:val="en-US"/>
        </w:rPr>
      </w:pPr>
      <w:r>
        <w:rPr>
          <w:lang w:val="en-US"/>
        </w:rPr>
        <w:t xml:space="preserve">Table II. </w:t>
      </w:r>
      <w:r w:rsidR="00BF5D1A">
        <w:rPr>
          <w:lang w:val="en-US"/>
        </w:rPr>
        <w:t xml:space="preserve">Breakdown of </w:t>
      </w:r>
      <w:r w:rsidR="00BF5D1A">
        <w:rPr>
          <w:lang w:val="en-US"/>
        </w:rPr>
        <w:t>Publication</w:t>
      </w:r>
      <w:r w:rsidR="00BF5D1A">
        <w:rPr>
          <w:lang w:val="en-US"/>
        </w:rPr>
        <w:t xml:space="preserve"> </w:t>
      </w:r>
      <w:r>
        <w:rPr>
          <w:lang w:val="en-US"/>
        </w:rPr>
        <w:t>Estimated Average costs.</w:t>
      </w:r>
    </w:p>
    <w:tbl>
      <w:tblPr>
        <w:tblStyle w:val="MediumGrid3-Accent1"/>
        <w:tblW w:w="0" w:type="auto"/>
        <w:tblInd w:w="0" w:type="dxa"/>
        <w:tblLook w:val="04A0" w:firstRow="1" w:lastRow="0" w:firstColumn="1" w:lastColumn="0" w:noHBand="0" w:noVBand="1"/>
      </w:tblPr>
      <w:tblGrid>
        <w:gridCol w:w="1117"/>
        <w:gridCol w:w="859"/>
        <w:gridCol w:w="884"/>
        <w:gridCol w:w="1028"/>
        <w:gridCol w:w="1028"/>
        <w:gridCol w:w="951"/>
        <w:gridCol w:w="927"/>
        <w:gridCol w:w="699"/>
        <w:gridCol w:w="1561"/>
      </w:tblGrid>
      <w:tr w:rsidR="002F3787" w14:paraId="0E31D8D5" w14:textId="77777777" w:rsidTr="00C50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hideMark/>
          </w:tcPr>
          <w:p w14:paraId="29EF7982" w14:textId="77777777" w:rsidR="00C503CF" w:rsidRDefault="00C503CF" w:rsidP="009B77F6">
            <w:pPr>
              <w:pStyle w:val="ListParagraph"/>
              <w:spacing w:before="100" w:beforeAutospacing="1" w:after="100" w:afterAutospacing="1"/>
              <w:ind w:left="0"/>
              <w:jc w:val="both"/>
              <w:rPr>
                <w:sz w:val="16"/>
                <w:szCs w:val="16"/>
                <w:lang w:val="en-US"/>
              </w:rPr>
            </w:pPr>
            <w:r>
              <w:rPr>
                <w:sz w:val="16"/>
                <w:szCs w:val="16"/>
                <w:lang w:val="en-US"/>
              </w:rPr>
              <w:t>Type of Publication</w:t>
            </w:r>
          </w:p>
        </w:tc>
        <w:tc>
          <w:tcPr>
            <w:tcW w:w="884" w:type="dxa"/>
            <w:hideMark/>
          </w:tcPr>
          <w:p w14:paraId="63153861" w14:textId="77777777" w:rsidR="00C503CF" w:rsidRDefault="00C503CF"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Budget Line</w:t>
            </w:r>
          </w:p>
        </w:tc>
        <w:tc>
          <w:tcPr>
            <w:tcW w:w="884" w:type="dxa"/>
            <w:hideMark/>
          </w:tcPr>
          <w:p w14:paraId="4020DE5E" w14:textId="77777777" w:rsidR="00C503CF" w:rsidRDefault="00C503CF"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Estimated Budget</w:t>
            </w:r>
          </w:p>
        </w:tc>
        <w:tc>
          <w:tcPr>
            <w:tcW w:w="1028" w:type="dxa"/>
            <w:hideMark/>
          </w:tcPr>
          <w:p w14:paraId="47FFA306" w14:textId="77777777" w:rsidR="00C503CF" w:rsidRDefault="00C503CF"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Distribution Channel</w:t>
            </w:r>
          </w:p>
        </w:tc>
        <w:tc>
          <w:tcPr>
            <w:tcW w:w="1028" w:type="dxa"/>
            <w:hideMark/>
          </w:tcPr>
          <w:p w14:paraId="351E0615" w14:textId="268E03FB" w:rsidR="00C503CF" w:rsidRDefault="002F3787"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Total</w:t>
            </w:r>
            <w:r w:rsidR="00C503CF">
              <w:rPr>
                <w:sz w:val="16"/>
                <w:szCs w:val="16"/>
                <w:lang w:val="en-US"/>
              </w:rPr>
              <w:t xml:space="preserve"> No. Publications</w:t>
            </w:r>
          </w:p>
        </w:tc>
        <w:tc>
          <w:tcPr>
            <w:tcW w:w="951" w:type="dxa"/>
            <w:hideMark/>
          </w:tcPr>
          <w:p w14:paraId="5BDC127E" w14:textId="77777777" w:rsidR="00C503CF" w:rsidRDefault="00C503CF"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Period of production</w:t>
            </w:r>
          </w:p>
        </w:tc>
        <w:tc>
          <w:tcPr>
            <w:tcW w:w="951" w:type="dxa"/>
            <w:hideMark/>
          </w:tcPr>
          <w:p w14:paraId="24BE54D3" w14:textId="2BA6C8E7" w:rsidR="00C503CF" w:rsidRDefault="00C503CF" w:rsidP="00BF5D1A">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Number of </w:t>
            </w:r>
            <w:r w:rsidR="00BF5D1A">
              <w:rPr>
                <w:sz w:val="16"/>
                <w:szCs w:val="16"/>
                <w:lang w:val="en-US"/>
              </w:rPr>
              <w:t>Copies per product</w:t>
            </w:r>
          </w:p>
        </w:tc>
        <w:tc>
          <w:tcPr>
            <w:tcW w:w="713" w:type="dxa"/>
            <w:hideMark/>
          </w:tcPr>
          <w:p w14:paraId="34C8EF74" w14:textId="77777777" w:rsidR="00C503CF" w:rsidRDefault="00C503CF"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Aver Pages</w:t>
            </w:r>
          </w:p>
        </w:tc>
        <w:tc>
          <w:tcPr>
            <w:tcW w:w="1401" w:type="dxa"/>
            <w:hideMark/>
          </w:tcPr>
          <w:p w14:paraId="1B9715F3" w14:textId="52A9E603" w:rsidR="00C503CF" w:rsidRDefault="00C503CF" w:rsidP="009B77F6">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Observations</w:t>
            </w:r>
            <w:r w:rsidR="00FB4245">
              <w:rPr>
                <w:sz w:val="16"/>
                <w:szCs w:val="16"/>
                <w:lang w:val="en-US"/>
              </w:rPr>
              <w:t>/Scope</w:t>
            </w:r>
          </w:p>
        </w:tc>
      </w:tr>
      <w:tr w:rsidR="002F3787" w:rsidRPr="00DC1C0A" w14:paraId="6A80B922" w14:textId="77777777" w:rsidTr="00C503CF">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hideMark/>
          </w:tcPr>
          <w:p w14:paraId="295816C8" w14:textId="77777777" w:rsidR="00C503CF" w:rsidRDefault="00C503CF" w:rsidP="009B77F6">
            <w:pPr>
              <w:pStyle w:val="ListParagraph"/>
              <w:spacing w:before="100" w:beforeAutospacing="1" w:after="100" w:afterAutospacing="1"/>
              <w:ind w:left="0"/>
              <w:jc w:val="both"/>
              <w:rPr>
                <w:sz w:val="16"/>
                <w:szCs w:val="16"/>
                <w:lang w:val="en-US"/>
              </w:rPr>
            </w:pPr>
            <w:r>
              <w:rPr>
                <w:sz w:val="16"/>
                <w:szCs w:val="16"/>
                <w:lang w:val="en-US"/>
              </w:rPr>
              <w:t>Monthly Citizen Reports</w:t>
            </w:r>
          </w:p>
        </w:tc>
        <w:tc>
          <w:tcPr>
            <w:tcW w:w="884" w:type="dxa"/>
            <w:hideMark/>
          </w:tcPr>
          <w:p w14:paraId="336EC15C"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120</w:t>
            </w:r>
          </w:p>
        </w:tc>
        <w:tc>
          <w:tcPr>
            <w:tcW w:w="884" w:type="dxa"/>
            <w:hideMark/>
          </w:tcPr>
          <w:p w14:paraId="3AFCC3EF"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U$ 5000 Per Report</w:t>
            </w:r>
          </w:p>
        </w:tc>
        <w:tc>
          <w:tcPr>
            <w:tcW w:w="1028" w:type="dxa"/>
            <w:hideMark/>
          </w:tcPr>
          <w:p w14:paraId="0DF575AE"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Regional and National Conferences</w:t>
            </w:r>
          </w:p>
        </w:tc>
        <w:tc>
          <w:tcPr>
            <w:tcW w:w="1028" w:type="dxa"/>
            <w:hideMark/>
          </w:tcPr>
          <w:p w14:paraId="1CB03D20"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3</w:t>
            </w:r>
          </w:p>
        </w:tc>
        <w:tc>
          <w:tcPr>
            <w:tcW w:w="951" w:type="dxa"/>
            <w:hideMark/>
          </w:tcPr>
          <w:p w14:paraId="3025AED8"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One in 1st year, two on second year </w:t>
            </w:r>
          </w:p>
        </w:tc>
        <w:tc>
          <w:tcPr>
            <w:tcW w:w="951" w:type="dxa"/>
            <w:hideMark/>
          </w:tcPr>
          <w:p w14:paraId="30B1737B"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500-1000</w:t>
            </w:r>
          </w:p>
        </w:tc>
        <w:tc>
          <w:tcPr>
            <w:tcW w:w="713" w:type="dxa"/>
            <w:hideMark/>
          </w:tcPr>
          <w:p w14:paraId="22A7F573"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50</w:t>
            </w:r>
          </w:p>
        </w:tc>
        <w:tc>
          <w:tcPr>
            <w:tcW w:w="1401" w:type="dxa"/>
            <w:hideMark/>
          </w:tcPr>
          <w:p w14:paraId="2080065C" w14:textId="77777777" w:rsidR="00C503CF" w:rsidRDefault="00C503CF" w:rsidP="009B77F6">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Includes printing of the regional analytical compilation of the monthly citizen e-reports in the first and the second year</w:t>
            </w:r>
          </w:p>
        </w:tc>
      </w:tr>
      <w:tr w:rsidR="002F3787" w:rsidRPr="00DC1C0A" w14:paraId="154DC9D9" w14:textId="77777777" w:rsidTr="00C503CF">
        <w:tc>
          <w:tcPr>
            <w:cnfStyle w:val="001000000000" w:firstRow="0" w:lastRow="0" w:firstColumn="1" w:lastColumn="0" w:oddVBand="0" w:evenVBand="0" w:oddHBand="0" w:evenHBand="0" w:firstRowFirstColumn="0" w:firstRowLastColumn="0" w:lastRowFirstColumn="0" w:lastRowLastColumn="0"/>
            <w:tcW w:w="1131" w:type="dxa"/>
            <w:tcBorders>
              <w:top w:val="single" w:sz="6" w:space="0" w:color="FFFFFF" w:themeColor="background1"/>
              <w:bottom w:val="single" w:sz="8" w:space="0" w:color="FFFFFF" w:themeColor="background1"/>
            </w:tcBorders>
            <w:hideMark/>
          </w:tcPr>
          <w:p w14:paraId="674B32A7" w14:textId="77777777" w:rsidR="00C503CF" w:rsidRDefault="00C503CF" w:rsidP="009B77F6">
            <w:pPr>
              <w:pStyle w:val="ListParagraph"/>
              <w:spacing w:before="100" w:beforeAutospacing="1" w:after="100" w:afterAutospacing="1"/>
              <w:ind w:left="0"/>
              <w:jc w:val="both"/>
              <w:rPr>
                <w:sz w:val="16"/>
                <w:szCs w:val="16"/>
                <w:lang w:val="en-US"/>
              </w:rPr>
            </w:pPr>
            <w:r>
              <w:rPr>
                <w:sz w:val="16"/>
                <w:szCs w:val="16"/>
                <w:lang w:val="en-US"/>
              </w:rPr>
              <w:t>Publications</w:t>
            </w:r>
          </w:p>
        </w:tc>
        <w:tc>
          <w:tcPr>
            <w:tcW w:w="88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4AE320AF"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121</w:t>
            </w:r>
          </w:p>
        </w:tc>
        <w:tc>
          <w:tcPr>
            <w:tcW w:w="88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0669C89F"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U$ 20000 Per Report</w:t>
            </w:r>
          </w:p>
        </w:tc>
        <w:tc>
          <w:tcPr>
            <w:tcW w:w="102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23423695"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Regional and National Conferences</w:t>
            </w:r>
          </w:p>
          <w:p w14:paraId="3E34BC29"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OBSICA</w:t>
            </w:r>
          </w:p>
          <w:p w14:paraId="0823360F"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UNDP Regional SC</w:t>
            </w:r>
          </w:p>
        </w:tc>
        <w:tc>
          <w:tcPr>
            <w:tcW w:w="102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49DD83AA"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6</w:t>
            </w:r>
          </w:p>
        </w:tc>
        <w:tc>
          <w:tcPr>
            <w:tcW w:w="95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5210DCA9"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One in 1st year, two on second year and three on third year. </w:t>
            </w:r>
          </w:p>
        </w:tc>
        <w:tc>
          <w:tcPr>
            <w:tcW w:w="95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6BEE194E"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2000-3000</w:t>
            </w:r>
          </w:p>
        </w:tc>
        <w:tc>
          <w:tcPr>
            <w:tcW w:w="713"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14:paraId="284DC457"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200</w:t>
            </w:r>
          </w:p>
        </w:tc>
        <w:tc>
          <w:tcPr>
            <w:tcW w:w="1401"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4A7212F3" w14:textId="77777777" w:rsidR="00C503CF" w:rsidRDefault="00C503CF" w:rsidP="009B77F6">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Cover the cost of graphic design, formatting and printing of state of art publications on issues related to youth, gender, quality of data, emerging crimes</w:t>
            </w:r>
          </w:p>
        </w:tc>
      </w:tr>
    </w:tbl>
    <w:p w14:paraId="517FF561" w14:textId="77777777" w:rsidR="00C503CF" w:rsidRPr="009C04A4" w:rsidRDefault="00C503CF" w:rsidP="009B77F6">
      <w:pPr>
        <w:pStyle w:val="ListParagraph"/>
        <w:spacing w:before="100" w:beforeAutospacing="1" w:after="100" w:afterAutospacing="1" w:line="240" w:lineRule="auto"/>
        <w:ind w:left="284"/>
        <w:contextualSpacing w:val="0"/>
        <w:jc w:val="both"/>
        <w:rPr>
          <w:lang w:val="en-US"/>
        </w:rPr>
      </w:pPr>
    </w:p>
    <w:p w14:paraId="2FFC5959" w14:textId="019E5B18" w:rsidR="00E52353" w:rsidRPr="00D250CB" w:rsidRDefault="00EA164B"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t>Coordination and Communication expert in Panama - this is not detailed in the technical narrative of the application. Please explain this role in your narrative.</w:t>
      </w:r>
    </w:p>
    <w:p w14:paraId="3E68A0B1" w14:textId="313B80C3" w:rsidR="00101596" w:rsidRPr="009C04A4" w:rsidRDefault="006466A2" w:rsidP="009B77F6">
      <w:pPr>
        <w:pStyle w:val="ListParagraph"/>
        <w:spacing w:before="100" w:beforeAutospacing="1" w:after="100" w:afterAutospacing="1" w:line="240" w:lineRule="auto"/>
        <w:ind w:left="284"/>
        <w:contextualSpacing w:val="0"/>
        <w:jc w:val="both"/>
        <w:rPr>
          <w:lang w:val="en-US"/>
        </w:rPr>
      </w:pPr>
      <w:r>
        <w:rPr>
          <w:lang w:val="en-US"/>
        </w:rPr>
        <w:t>The position of the</w:t>
      </w:r>
      <w:r w:rsidR="00101596" w:rsidRPr="009C04A4">
        <w:rPr>
          <w:lang w:val="en-US"/>
        </w:rPr>
        <w:t xml:space="preserve"> full-time Coordination and Communication expert </w:t>
      </w:r>
      <w:r>
        <w:rPr>
          <w:lang w:val="en-US"/>
        </w:rPr>
        <w:t>has been cancelled</w:t>
      </w:r>
      <w:r w:rsidR="00AD30BC">
        <w:rPr>
          <w:lang w:val="en-US"/>
        </w:rPr>
        <w:t xml:space="preserve"> as explained in the reviewed version of 14</w:t>
      </w:r>
      <w:r w:rsidR="00AD30BC" w:rsidRPr="00C503CF">
        <w:rPr>
          <w:vertAlign w:val="superscript"/>
          <w:lang w:val="en-US"/>
        </w:rPr>
        <w:t>th</w:t>
      </w:r>
      <w:r w:rsidR="00AD30BC">
        <w:rPr>
          <w:lang w:val="en-US"/>
        </w:rPr>
        <w:t xml:space="preserve"> March 2014</w:t>
      </w:r>
      <w:r w:rsidR="002F3787">
        <w:rPr>
          <w:lang w:val="en-US"/>
        </w:rPr>
        <w:t>,</w:t>
      </w:r>
      <w:r>
        <w:rPr>
          <w:lang w:val="en-US"/>
        </w:rPr>
        <w:t xml:space="preserve"> The Team Leader </w:t>
      </w:r>
      <w:r w:rsidR="008B00E1">
        <w:rPr>
          <w:lang w:val="en-US"/>
        </w:rPr>
        <w:t xml:space="preserve">(Chief of Party) </w:t>
      </w:r>
      <w:r>
        <w:rPr>
          <w:lang w:val="en-US"/>
        </w:rPr>
        <w:t xml:space="preserve">and the Project Coordinator will </w:t>
      </w:r>
      <w:r w:rsidR="00A52330">
        <w:rPr>
          <w:lang w:val="en-US"/>
        </w:rPr>
        <w:t>be in charge of the project coordination and communication activities.</w:t>
      </w:r>
      <w:r w:rsidR="00101596" w:rsidRPr="009C04A4">
        <w:rPr>
          <w:lang w:val="en-US"/>
        </w:rPr>
        <w:t xml:space="preserve"> Instead </w:t>
      </w:r>
      <w:r w:rsidR="00A52330">
        <w:rPr>
          <w:lang w:val="en-US"/>
        </w:rPr>
        <w:t xml:space="preserve">of a full-time Coordination and Communication expert, </w:t>
      </w:r>
      <w:r w:rsidR="00101596" w:rsidRPr="009C04A4">
        <w:rPr>
          <w:lang w:val="en-US"/>
        </w:rPr>
        <w:t xml:space="preserve">the project contemplates </w:t>
      </w:r>
      <w:r w:rsidR="00CE0DE4">
        <w:rPr>
          <w:lang w:val="en-US"/>
        </w:rPr>
        <w:t>supporting the Team Leader and the Regional Coordinator with</w:t>
      </w:r>
      <w:r w:rsidR="00101596" w:rsidRPr="009C04A4">
        <w:rPr>
          <w:lang w:val="en-US"/>
        </w:rPr>
        <w:t xml:space="preserve"> </w:t>
      </w:r>
      <w:r w:rsidR="00CE0DE4">
        <w:rPr>
          <w:lang w:val="en-US"/>
        </w:rPr>
        <w:t>short-term ad hoc consultant services as needed</w:t>
      </w:r>
      <w:r w:rsidR="00B2127F">
        <w:rPr>
          <w:lang w:val="en-US"/>
        </w:rPr>
        <w:t xml:space="preserve"> (for instance, it will be required an ad hoc assistance for the launch of the most important reports)</w:t>
      </w:r>
      <w:r w:rsidR="00CE0DE4">
        <w:rPr>
          <w:lang w:val="en-US"/>
        </w:rPr>
        <w:t>.</w:t>
      </w:r>
      <w:r w:rsidR="00B25108">
        <w:rPr>
          <w:lang w:val="en-US"/>
        </w:rPr>
        <w:t xml:space="preserve"> </w:t>
      </w:r>
      <w:r w:rsidR="00756BED" w:rsidRPr="00801336">
        <w:rPr>
          <w:lang w:val="en-US"/>
        </w:rPr>
        <w:t xml:space="preserve">These ad-hoc </w:t>
      </w:r>
      <w:r w:rsidR="003C6689" w:rsidRPr="00801336">
        <w:rPr>
          <w:lang w:val="en-US"/>
        </w:rPr>
        <w:t>expert</w:t>
      </w:r>
      <w:r w:rsidR="00756BED" w:rsidRPr="00801336">
        <w:rPr>
          <w:lang w:val="en-US"/>
        </w:rPr>
        <w:t>s</w:t>
      </w:r>
      <w:r w:rsidR="003C6689" w:rsidRPr="00801336">
        <w:rPr>
          <w:lang w:val="en-US"/>
        </w:rPr>
        <w:t xml:space="preserve"> </w:t>
      </w:r>
      <w:r w:rsidR="00B25108" w:rsidRPr="00801336">
        <w:rPr>
          <w:lang w:val="en-US"/>
        </w:rPr>
        <w:t xml:space="preserve">are </w:t>
      </w:r>
      <w:r w:rsidR="00F93D9B" w:rsidRPr="00801336">
        <w:rPr>
          <w:lang w:val="en-US"/>
        </w:rPr>
        <w:t xml:space="preserve">budgeted under the </w:t>
      </w:r>
      <w:r w:rsidR="003C6689" w:rsidRPr="00801336">
        <w:rPr>
          <w:lang w:val="en-US"/>
        </w:rPr>
        <w:t xml:space="preserve">Line 64 in </w:t>
      </w:r>
      <w:r w:rsidR="00F93D9B" w:rsidRPr="00801336">
        <w:rPr>
          <w:lang w:val="en-US"/>
        </w:rPr>
        <w:t xml:space="preserve">the project </w:t>
      </w:r>
      <w:r w:rsidR="003C6689" w:rsidRPr="00801336">
        <w:rPr>
          <w:lang w:val="en-US"/>
        </w:rPr>
        <w:t>budget</w:t>
      </w:r>
      <w:r w:rsidR="00B25108" w:rsidRPr="00801336">
        <w:rPr>
          <w:lang w:val="en-US"/>
        </w:rPr>
        <w:t xml:space="preserve"> and may include experts on communication, policy etc.</w:t>
      </w:r>
      <w:r w:rsidR="003C6689" w:rsidRPr="00801336">
        <w:rPr>
          <w:lang w:val="en-US"/>
        </w:rPr>
        <w:t xml:space="preserve"> </w:t>
      </w:r>
      <w:r w:rsidR="00101596" w:rsidRPr="00801336">
        <w:rPr>
          <w:lang w:val="en-US"/>
        </w:rPr>
        <w:t xml:space="preserve">The detailed </w:t>
      </w:r>
      <w:r w:rsidR="00B25108" w:rsidRPr="00801336">
        <w:rPr>
          <w:lang w:val="en-US"/>
        </w:rPr>
        <w:t xml:space="preserve">profile </w:t>
      </w:r>
      <w:r w:rsidR="00101596" w:rsidRPr="00801336">
        <w:rPr>
          <w:lang w:val="en-US"/>
        </w:rPr>
        <w:t xml:space="preserve">of ad hoc experts </w:t>
      </w:r>
      <w:r w:rsidR="00B25108" w:rsidRPr="00801336">
        <w:rPr>
          <w:lang w:val="en-US"/>
        </w:rPr>
        <w:t xml:space="preserve">will be defined by the </w:t>
      </w:r>
      <w:r w:rsidR="008B00E1" w:rsidRPr="00801336">
        <w:rPr>
          <w:lang w:val="en-US"/>
        </w:rPr>
        <w:t xml:space="preserve">Team Leader </w:t>
      </w:r>
      <w:r w:rsidR="00B25108" w:rsidRPr="00801336">
        <w:rPr>
          <w:lang w:val="en-US"/>
        </w:rPr>
        <w:t>in the course of the project implementation</w:t>
      </w:r>
      <w:r w:rsidR="008B00E1" w:rsidRPr="00801336">
        <w:rPr>
          <w:lang w:val="en-US"/>
        </w:rPr>
        <w:t>.</w:t>
      </w:r>
      <w:r w:rsidR="007D3016" w:rsidRPr="00801336">
        <w:rPr>
          <w:lang w:val="en-US"/>
        </w:rPr>
        <w:t xml:space="preserve"> </w:t>
      </w:r>
    </w:p>
    <w:p w14:paraId="16B7D189" w14:textId="298A65CF" w:rsidR="00E52353" w:rsidRPr="00C501C7" w:rsidRDefault="006647E6"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t>The support for OB</w:t>
      </w:r>
      <w:r w:rsidR="00F92C5D" w:rsidRPr="009C04A4">
        <w:rPr>
          <w:i/>
          <w:color w:val="1F497D" w:themeColor="text2"/>
          <w:lang w:val="en-US"/>
        </w:rPr>
        <w:t>SICA/ SIC</w:t>
      </w:r>
      <w:r w:rsidR="00EA164B" w:rsidRPr="009C04A4">
        <w:rPr>
          <w:i/>
          <w:color w:val="1F497D" w:themeColor="text2"/>
          <w:lang w:val="en-US"/>
        </w:rPr>
        <w:t>A Liaison position described in the technical application is missing in the budget</w:t>
      </w:r>
      <w:r w:rsidR="00F92C5D" w:rsidRPr="009C04A4">
        <w:rPr>
          <w:i/>
          <w:color w:val="1F497D" w:themeColor="text2"/>
          <w:lang w:val="en-US"/>
        </w:rPr>
        <w:t xml:space="preserve">, </w:t>
      </w:r>
      <w:r w:rsidR="00801336" w:rsidRPr="009C04A4">
        <w:rPr>
          <w:i/>
          <w:color w:val="1F497D" w:themeColor="text2"/>
          <w:lang w:val="en-US"/>
        </w:rPr>
        <w:t>there</w:t>
      </w:r>
      <w:r w:rsidR="00EA164B" w:rsidRPr="009C04A4">
        <w:rPr>
          <w:i/>
          <w:color w:val="1F497D" w:themeColor="text2"/>
          <w:lang w:val="en-US"/>
        </w:rPr>
        <w:t xml:space="preserve"> are three positions proposed in the narrative for the OBSICA/SICA Unit, but only two appear in the budget.</w:t>
      </w:r>
    </w:p>
    <w:p w14:paraId="602BC351" w14:textId="0215185C" w:rsidR="00F92C5D" w:rsidRPr="009C04A4" w:rsidRDefault="00F92C5D"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Following the consultations </w:t>
      </w:r>
      <w:r w:rsidR="00A57806" w:rsidRPr="009C04A4">
        <w:rPr>
          <w:lang w:val="en-US"/>
        </w:rPr>
        <w:t xml:space="preserve">with </w:t>
      </w:r>
      <w:r w:rsidR="00CE0DE4">
        <w:rPr>
          <w:lang w:val="en-US"/>
        </w:rPr>
        <w:t xml:space="preserve">the </w:t>
      </w:r>
      <w:r w:rsidR="00A57806" w:rsidRPr="009C04A4">
        <w:rPr>
          <w:lang w:val="en-US"/>
        </w:rPr>
        <w:t>CECI</w:t>
      </w:r>
      <w:r w:rsidR="00B2127F">
        <w:rPr>
          <w:lang w:val="en-US"/>
        </w:rPr>
        <w:t>, OBSICA and SICA-DSD</w:t>
      </w:r>
      <w:r w:rsidR="00A57806" w:rsidRPr="009C04A4">
        <w:rPr>
          <w:lang w:val="en-US"/>
        </w:rPr>
        <w:t xml:space="preserve"> </w:t>
      </w:r>
      <w:r w:rsidRPr="009C04A4">
        <w:rPr>
          <w:lang w:val="en-US"/>
        </w:rPr>
        <w:t xml:space="preserve">held </w:t>
      </w:r>
      <w:r w:rsidR="00A57806">
        <w:rPr>
          <w:lang w:val="en-US"/>
        </w:rPr>
        <w:t>in</w:t>
      </w:r>
      <w:r w:rsidRPr="009C04A4">
        <w:rPr>
          <w:lang w:val="en-US"/>
        </w:rPr>
        <w:t xml:space="preserve"> March/April 2014 </w:t>
      </w:r>
      <w:r w:rsidR="00B2127F">
        <w:rPr>
          <w:lang w:val="en-US"/>
        </w:rPr>
        <w:t>the</w:t>
      </w:r>
      <w:r w:rsidRPr="009C04A4">
        <w:rPr>
          <w:lang w:val="en-US"/>
        </w:rPr>
        <w:t xml:space="preserve"> Coordinator of </w:t>
      </w:r>
      <w:r w:rsidR="00524665">
        <w:rPr>
          <w:lang w:val="en-US"/>
        </w:rPr>
        <w:t>OB</w:t>
      </w:r>
      <w:r w:rsidRPr="009C04A4">
        <w:rPr>
          <w:lang w:val="en-US"/>
        </w:rPr>
        <w:t xml:space="preserve">SICA </w:t>
      </w:r>
      <w:r w:rsidR="00524665">
        <w:rPr>
          <w:lang w:val="en-US"/>
        </w:rPr>
        <w:t>(</w:t>
      </w:r>
      <w:r w:rsidR="00524665">
        <w:rPr>
          <w:lang w:val="en-US"/>
        </w:rPr>
        <w:t>who will act under the supervision of</w:t>
      </w:r>
      <w:r w:rsidR="00524665" w:rsidRPr="009C04A4">
        <w:rPr>
          <w:lang w:val="en-US"/>
        </w:rPr>
        <w:t xml:space="preserve"> Democratic Security Director</w:t>
      </w:r>
      <w:r w:rsidR="00524665">
        <w:rPr>
          <w:lang w:val="en-US"/>
        </w:rPr>
        <w:t>ate</w:t>
      </w:r>
      <w:r w:rsidR="00524665">
        <w:rPr>
          <w:lang w:val="en-US"/>
        </w:rPr>
        <w:t xml:space="preserve">) </w:t>
      </w:r>
      <w:r w:rsidRPr="009C04A4">
        <w:rPr>
          <w:lang w:val="en-US"/>
        </w:rPr>
        <w:t>will serve as the Liaison between OBSICA and the project</w:t>
      </w:r>
      <w:r w:rsidR="00524665">
        <w:rPr>
          <w:lang w:val="en-US"/>
        </w:rPr>
        <w:t xml:space="preserve">, </w:t>
      </w:r>
      <w:r w:rsidRPr="009C04A4">
        <w:rPr>
          <w:lang w:val="en-US"/>
        </w:rPr>
        <w:t>and will be supported by two OBSICA staff</w:t>
      </w:r>
      <w:r w:rsidR="00B2127F">
        <w:rPr>
          <w:lang w:val="en-US"/>
        </w:rPr>
        <w:t xml:space="preserve"> funded by the project</w:t>
      </w:r>
      <w:r w:rsidRPr="009C04A4">
        <w:rPr>
          <w:lang w:val="en-US"/>
        </w:rPr>
        <w:t>. See Item 1 of the Budget - Salaries and Wages, Line 44 – Capacity Building of OBSICA (OBSICA Support Technicians).</w:t>
      </w:r>
    </w:p>
    <w:p w14:paraId="76E3C82F" w14:textId="01C607F5" w:rsidR="00F92C5D" w:rsidRPr="00C501C7" w:rsidRDefault="00EA164B"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lastRenderedPageBreak/>
        <w:t>Publications and advocacy campaigns - there is an estimate of 13 publications but it is unclear what the amount of $120,000 will cover? (</w:t>
      </w:r>
      <w:proofErr w:type="gramStart"/>
      <w:r w:rsidR="00D662F9" w:rsidRPr="009C04A4">
        <w:rPr>
          <w:i/>
          <w:color w:val="1F497D" w:themeColor="text2"/>
          <w:lang w:val="en-US"/>
        </w:rPr>
        <w:t>i.e</w:t>
      </w:r>
      <w:proofErr w:type="gramEnd"/>
      <w:r w:rsidR="00D662F9" w:rsidRPr="009C04A4">
        <w:rPr>
          <w:i/>
          <w:color w:val="1F497D" w:themeColor="text2"/>
          <w:lang w:val="en-US"/>
        </w:rPr>
        <w:t>.</w:t>
      </w:r>
      <w:r w:rsidRPr="009C04A4">
        <w:rPr>
          <w:i/>
          <w:color w:val="1F497D" w:themeColor="text2"/>
          <w:lang w:val="en-US"/>
        </w:rPr>
        <w:t xml:space="preserve"> production, translation, distribution?) The budget should reflect the cost for undertaking research, production costs for publications, dissemination, etc.</w:t>
      </w:r>
    </w:p>
    <w:p w14:paraId="6FB99D68" w14:textId="7FE18854" w:rsidR="00492F4F" w:rsidRDefault="00BD4DE2"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In the latest </w:t>
      </w:r>
      <w:r>
        <w:rPr>
          <w:lang w:val="en-US"/>
        </w:rPr>
        <w:t xml:space="preserve">version of the </w:t>
      </w:r>
      <w:r w:rsidRPr="009C04A4">
        <w:rPr>
          <w:lang w:val="en-US"/>
        </w:rPr>
        <w:t>Budget</w:t>
      </w:r>
      <w:r>
        <w:rPr>
          <w:lang w:val="en-US"/>
        </w:rPr>
        <w:t xml:space="preserve"> the cost of </w:t>
      </w:r>
      <w:r w:rsidR="00F92C5D" w:rsidRPr="009C04A4">
        <w:rPr>
          <w:lang w:val="en-US"/>
        </w:rPr>
        <w:t xml:space="preserve">Publications and advocacy campaigns </w:t>
      </w:r>
      <w:r w:rsidR="00EF73BD">
        <w:rPr>
          <w:lang w:val="en-US"/>
        </w:rPr>
        <w:t>amount</w:t>
      </w:r>
      <w:r>
        <w:rPr>
          <w:lang w:val="en-US"/>
        </w:rPr>
        <w:t>s</w:t>
      </w:r>
      <w:r w:rsidR="00EF73BD">
        <w:rPr>
          <w:lang w:val="en-US"/>
        </w:rPr>
        <w:t xml:space="preserve"> to </w:t>
      </w:r>
      <w:r w:rsidR="00492F4F">
        <w:rPr>
          <w:lang w:val="en-US"/>
        </w:rPr>
        <w:t>US</w:t>
      </w:r>
      <w:r w:rsidR="00EF73BD">
        <w:rPr>
          <w:lang w:val="en-US"/>
        </w:rPr>
        <w:t>$</w:t>
      </w:r>
      <w:r w:rsidR="009B44FA" w:rsidRPr="009C04A4">
        <w:rPr>
          <w:lang w:val="en-US"/>
        </w:rPr>
        <w:t>135</w:t>
      </w:r>
      <w:r w:rsidR="00EF73BD">
        <w:rPr>
          <w:lang w:val="en-US"/>
        </w:rPr>
        <w:t>,</w:t>
      </w:r>
      <w:r w:rsidR="009B44FA" w:rsidRPr="009C04A4">
        <w:rPr>
          <w:lang w:val="en-US"/>
        </w:rPr>
        <w:t>000</w:t>
      </w:r>
      <w:r>
        <w:rPr>
          <w:lang w:val="en-US"/>
        </w:rPr>
        <w:t>.</w:t>
      </w:r>
      <w:r w:rsidR="00D662F9">
        <w:rPr>
          <w:lang w:val="en-US"/>
        </w:rPr>
        <w:t xml:space="preserve"> </w:t>
      </w:r>
      <w:r w:rsidR="00EF73BD">
        <w:rPr>
          <w:lang w:val="en-US"/>
        </w:rPr>
        <w:t>This amount</w:t>
      </w:r>
      <w:r w:rsidR="00EF73BD" w:rsidRPr="009C04A4">
        <w:rPr>
          <w:lang w:val="en-US"/>
        </w:rPr>
        <w:t xml:space="preserve"> </w:t>
      </w:r>
      <w:r w:rsidR="009B44FA" w:rsidRPr="009C04A4">
        <w:rPr>
          <w:lang w:val="en-US"/>
        </w:rPr>
        <w:t>includes</w:t>
      </w:r>
      <w:r w:rsidR="00F92C5D" w:rsidRPr="009C04A4">
        <w:rPr>
          <w:lang w:val="en-US"/>
        </w:rPr>
        <w:t xml:space="preserve"> the cost of printed material</w:t>
      </w:r>
      <w:r>
        <w:rPr>
          <w:lang w:val="en-US"/>
        </w:rPr>
        <w:t>,</w:t>
      </w:r>
      <w:r w:rsidR="00F92C5D" w:rsidRPr="009C04A4">
        <w:rPr>
          <w:lang w:val="en-US"/>
        </w:rPr>
        <w:t xml:space="preserve"> not </w:t>
      </w:r>
      <w:r>
        <w:rPr>
          <w:lang w:val="en-US"/>
        </w:rPr>
        <w:t xml:space="preserve">covered by </w:t>
      </w:r>
      <w:r w:rsidR="00F92C5D" w:rsidRPr="009C04A4">
        <w:rPr>
          <w:lang w:val="en-US"/>
        </w:rPr>
        <w:t>the sub-grants</w:t>
      </w:r>
      <w:r w:rsidR="00EF73BD">
        <w:rPr>
          <w:lang w:val="en-US"/>
        </w:rPr>
        <w:t xml:space="preserve"> (please </w:t>
      </w:r>
      <w:r w:rsidR="00524665">
        <w:rPr>
          <w:lang w:val="en-US"/>
        </w:rPr>
        <w:t>refer to</w:t>
      </w:r>
      <w:r w:rsidR="00524665">
        <w:rPr>
          <w:lang w:val="en-US"/>
        </w:rPr>
        <w:t xml:space="preserve"> </w:t>
      </w:r>
      <w:r w:rsidR="00EF73BD">
        <w:rPr>
          <w:lang w:val="en-US"/>
        </w:rPr>
        <w:t>point 2</w:t>
      </w:r>
      <w:r w:rsidR="00524665">
        <w:rPr>
          <w:lang w:val="en-US"/>
        </w:rPr>
        <w:t>, table II</w:t>
      </w:r>
      <w:r w:rsidR="00EF73BD">
        <w:rPr>
          <w:lang w:val="en-US"/>
        </w:rPr>
        <w:t xml:space="preserve"> on page 2 above)</w:t>
      </w:r>
      <w:r w:rsidR="00F92C5D" w:rsidRPr="009C04A4">
        <w:rPr>
          <w:lang w:val="en-US"/>
        </w:rPr>
        <w:t xml:space="preserve">. </w:t>
      </w:r>
    </w:p>
    <w:p w14:paraId="70192928" w14:textId="6A9FD871" w:rsidR="00594B5D" w:rsidRDefault="00F92C5D" w:rsidP="009B77F6">
      <w:pPr>
        <w:pStyle w:val="ListParagraph"/>
        <w:spacing w:before="100" w:beforeAutospacing="1" w:after="100" w:afterAutospacing="1" w:line="240" w:lineRule="auto"/>
        <w:ind w:left="284"/>
        <w:contextualSpacing w:val="0"/>
        <w:jc w:val="both"/>
        <w:rPr>
          <w:lang w:val="en-US"/>
        </w:rPr>
      </w:pPr>
      <w:proofErr w:type="gramStart"/>
      <w:r w:rsidRPr="009C04A4">
        <w:rPr>
          <w:lang w:val="en-US"/>
        </w:rPr>
        <w:t>The US$ 135,000 (provided in Item 5.</w:t>
      </w:r>
      <w:proofErr w:type="gramEnd"/>
      <w:r w:rsidRPr="009C04A4">
        <w:rPr>
          <w:lang w:val="en-US"/>
        </w:rPr>
        <w:t xml:space="preserve"> Other Direct Costs, Lines 120-121) includes production of Monthly Citizen reports and Publications. </w:t>
      </w:r>
    </w:p>
    <w:p w14:paraId="6DF7F56D" w14:textId="113F58B8" w:rsidR="00F92C5D" w:rsidRPr="009C04A4" w:rsidRDefault="00F92C5D"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w:t>
      </w:r>
      <w:r w:rsidR="00594B5D">
        <w:rPr>
          <w:lang w:val="en-US"/>
        </w:rPr>
        <w:t xml:space="preserve">$ </w:t>
      </w:r>
      <w:r w:rsidR="003B2D88">
        <w:rPr>
          <w:lang w:val="en-US"/>
        </w:rPr>
        <w:t>15,000</w:t>
      </w:r>
      <w:r w:rsidR="00594B5D">
        <w:rPr>
          <w:lang w:val="en-US"/>
        </w:rPr>
        <w:t xml:space="preserve"> under </w:t>
      </w:r>
      <w:r w:rsidRPr="009C04A4">
        <w:rPr>
          <w:lang w:val="en-US"/>
        </w:rPr>
        <w:t xml:space="preserve">Line 120 - Monthly Citizen Reports - covers the printing of the regional analytical compilation of the monthly citizen e-reports in the first and the second year (5,000 copies in year 1 and 10,000 in the year 2). </w:t>
      </w:r>
    </w:p>
    <w:p w14:paraId="209A8F09" w14:textId="217E1644" w:rsidR="003B2D88" w:rsidRDefault="00F92C5D"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w:t>
      </w:r>
      <w:r w:rsidR="00594B5D">
        <w:rPr>
          <w:lang w:val="en-US"/>
        </w:rPr>
        <w:t xml:space="preserve">$ </w:t>
      </w:r>
      <w:r w:rsidR="003B2D88">
        <w:rPr>
          <w:lang w:val="en-US"/>
        </w:rPr>
        <w:t>120,000</w:t>
      </w:r>
      <w:r w:rsidR="00594B5D">
        <w:rPr>
          <w:lang w:val="en-US"/>
        </w:rPr>
        <w:t xml:space="preserve"> </w:t>
      </w:r>
      <w:r w:rsidRPr="009C04A4">
        <w:rPr>
          <w:lang w:val="en-US"/>
        </w:rPr>
        <w:t xml:space="preserve">under the Line 121 </w:t>
      </w:r>
      <w:r w:rsidR="0063225A">
        <w:rPr>
          <w:lang w:val="en-US"/>
        </w:rPr>
        <w:t xml:space="preserve">- </w:t>
      </w:r>
      <w:r w:rsidR="0063225A" w:rsidRPr="009C04A4">
        <w:rPr>
          <w:lang w:val="en-US"/>
        </w:rPr>
        <w:t xml:space="preserve">Publications </w:t>
      </w:r>
      <w:r w:rsidR="0063225A">
        <w:rPr>
          <w:lang w:val="en-US"/>
        </w:rPr>
        <w:t xml:space="preserve">- </w:t>
      </w:r>
      <w:r w:rsidRPr="009C04A4">
        <w:rPr>
          <w:lang w:val="en-US"/>
        </w:rPr>
        <w:t>will cover the cost of graphic design, formatting and printing of 6 state-of-art publications on issues related to youth, gender, quality of data, emerging crimes, etc. Following the request from CECI these funds will cover the costs of 4 publications planned by OBSICA-CECI. Finally, these funds will cover 2 OBSICA publications, one in year 1, and one in year 2.</w:t>
      </w:r>
    </w:p>
    <w:p w14:paraId="1F2D08C4" w14:textId="77777777" w:rsidR="00492F4F" w:rsidRDefault="00492F4F" w:rsidP="009B77F6">
      <w:pPr>
        <w:pStyle w:val="ListParagraph"/>
        <w:spacing w:before="100" w:beforeAutospacing="1" w:after="100" w:afterAutospacing="1" w:line="240" w:lineRule="auto"/>
        <w:ind w:left="284"/>
        <w:contextualSpacing w:val="0"/>
        <w:jc w:val="both"/>
        <w:rPr>
          <w:lang w:val="en-US"/>
        </w:rPr>
      </w:pPr>
      <w:r>
        <w:rPr>
          <w:lang w:val="en-US"/>
        </w:rPr>
        <w:t>The research will be carried out by the CSOs (FUNDAUNGO, CISALVA, UNAH, etc.) and is budgeted under the Line 172-177 – Sub-grants. Research will also be part of the regular work of National Coordinators/STU Support Units and will be covered by their salaries.</w:t>
      </w:r>
    </w:p>
    <w:p w14:paraId="1DB61A14" w14:textId="77777777" w:rsidR="00492F4F" w:rsidRPr="009C04A4" w:rsidRDefault="00492F4F" w:rsidP="009B77F6">
      <w:pPr>
        <w:pStyle w:val="ListParagraph"/>
        <w:spacing w:before="100" w:beforeAutospacing="1" w:after="100" w:afterAutospacing="1" w:line="240" w:lineRule="auto"/>
        <w:ind w:left="284"/>
        <w:contextualSpacing w:val="0"/>
        <w:jc w:val="both"/>
        <w:rPr>
          <w:lang w:val="en-US"/>
        </w:rPr>
      </w:pPr>
      <w:r>
        <w:rPr>
          <w:lang w:val="en-US"/>
        </w:rPr>
        <w:t>Cost of productions of f</w:t>
      </w:r>
      <w:r w:rsidRPr="009C04A4">
        <w:rPr>
          <w:lang w:val="en-US"/>
        </w:rPr>
        <w:t xml:space="preserve">actsheets, policy papers and baselines </w:t>
      </w:r>
      <w:r>
        <w:rPr>
          <w:lang w:val="en-US"/>
        </w:rPr>
        <w:t xml:space="preserve">is not included in the budget as these </w:t>
      </w:r>
      <w:r w:rsidRPr="009C04A4">
        <w:rPr>
          <w:lang w:val="en-US"/>
        </w:rPr>
        <w:t>will be published online in PDF format and distributed through the ROC platform and website</w:t>
      </w:r>
      <w:r>
        <w:rPr>
          <w:lang w:val="en-US"/>
        </w:rPr>
        <w:t>.</w:t>
      </w:r>
    </w:p>
    <w:p w14:paraId="646DFDB8" w14:textId="5CAE1FDF" w:rsidR="003B2D88" w:rsidRDefault="00402FC8" w:rsidP="009B77F6">
      <w:pPr>
        <w:pStyle w:val="ListParagraph"/>
        <w:spacing w:before="100" w:beforeAutospacing="1" w:after="100" w:afterAutospacing="1" w:line="240" w:lineRule="auto"/>
        <w:ind w:left="284"/>
        <w:contextualSpacing w:val="0"/>
        <w:jc w:val="both"/>
        <w:rPr>
          <w:lang w:val="en-US"/>
        </w:rPr>
      </w:pPr>
      <w:r>
        <w:rPr>
          <w:lang w:val="en-US"/>
        </w:rPr>
        <w:t xml:space="preserve">Dissemination is not budgeted separately as the printed publications will be disseminated at the national and regional </w:t>
      </w:r>
      <w:r w:rsidR="00866231">
        <w:rPr>
          <w:lang w:val="en-US"/>
        </w:rPr>
        <w:t>events organized by the project and OBSICA, by UNDP Country Offices and national stakeholders through their institutional channels.</w:t>
      </w:r>
    </w:p>
    <w:p w14:paraId="51DA1451" w14:textId="5ACF305B" w:rsidR="00E52353" w:rsidRPr="00C501C7" w:rsidRDefault="00EA164B"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t>There is no budget for the technology to support the communication strategy: for example, costs for a web-based platform to support dissemination? What will be needed in terms of technology to support the regional observatory in OBSICA and the ROC web base platform?</w:t>
      </w:r>
    </w:p>
    <w:p w14:paraId="55EFDEA6" w14:textId="77C3FC7D" w:rsidR="0012724B" w:rsidRPr="009B77F6" w:rsidRDefault="00B2127F" w:rsidP="009B77F6">
      <w:pPr>
        <w:pStyle w:val="ListParagraph"/>
        <w:spacing w:before="100" w:beforeAutospacing="1" w:after="100" w:afterAutospacing="1" w:line="240" w:lineRule="auto"/>
        <w:ind w:left="284"/>
        <w:contextualSpacing w:val="0"/>
        <w:jc w:val="both"/>
        <w:rPr>
          <w:lang w:val="en-US"/>
        </w:rPr>
      </w:pPr>
      <w:r>
        <w:rPr>
          <w:lang w:val="en-US"/>
        </w:rPr>
        <w:t>The budget for technology to support the communication strategy is US$ 426,000</w:t>
      </w:r>
      <w:r w:rsidR="00E437D0">
        <w:rPr>
          <w:lang w:val="en-US"/>
        </w:rPr>
        <w:t xml:space="preserve"> </w:t>
      </w:r>
      <w:r w:rsidRPr="009B77F6">
        <w:rPr>
          <w:lang w:val="en-US"/>
        </w:rPr>
        <w:t>(</w:t>
      </w:r>
      <w:r w:rsidR="00F92C5D" w:rsidRPr="009B77F6">
        <w:rPr>
          <w:lang w:val="en-US"/>
        </w:rPr>
        <w:t xml:space="preserve">reflected in Item 9. </w:t>
      </w:r>
      <w:proofErr w:type="gramStart"/>
      <w:r w:rsidR="00F92C5D" w:rsidRPr="009B77F6">
        <w:rPr>
          <w:lang w:val="en-US"/>
        </w:rPr>
        <w:t xml:space="preserve">Sub-contracts/Sub-grants, Line 168 - </w:t>
      </w:r>
      <w:r w:rsidR="0012724B" w:rsidRPr="009B77F6">
        <w:rPr>
          <w:lang w:val="en-US"/>
        </w:rPr>
        <w:t>G</w:t>
      </w:r>
      <w:r w:rsidR="00F92C5D" w:rsidRPr="009B77F6">
        <w:rPr>
          <w:lang w:val="en-US"/>
        </w:rPr>
        <w:t>rant for ROC Platform</w:t>
      </w:r>
      <w:r w:rsidR="0012724B" w:rsidRPr="009B77F6">
        <w:rPr>
          <w:lang w:val="en-US"/>
        </w:rPr>
        <w:t xml:space="preserve"> of the Budget</w:t>
      </w:r>
      <w:r w:rsidRPr="009B77F6">
        <w:rPr>
          <w:lang w:val="en-US"/>
        </w:rPr>
        <w:t>)</w:t>
      </w:r>
      <w:r w:rsidR="00F92C5D" w:rsidRPr="009B77F6">
        <w:rPr>
          <w:lang w:val="en-US"/>
        </w:rPr>
        <w:t>.</w:t>
      </w:r>
      <w:proofErr w:type="gramEnd"/>
      <w:r w:rsidR="00F92C5D" w:rsidRPr="009B77F6">
        <w:rPr>
          <w:lang w:val="en-US"/>
        </w:rPr>
        <w:t xml:space="preserve"> </w:t>
      </w:r>
    </w:p>
    <w:p w14:paraId="5E25A9EB" w14:textId="4BC90A63" w:rsidR="00B2127F" w:rsidRDefault="00B2127F" w:rsidP="009B77F6">
      <w:pPr>
        <w:pStyle w:val="ListParagraph"/>
        <w:spacing w:before="100" w:beforeAutospacing="1" w:after="100" w:afterAutospacing="1" w:line="240" w:lineRule="auto"/>
        <w:ind w:left="284"/>
        <w:contextualSpacing w:val="0"/>
        <w:jc w:val="both"/>
        <w:rPr>
          <w:lang w:val="en-US"/>
        </w:rPr>
      </w:pPr>
      <w:r>
        <w:rPr>
          <w:lang w:val="en-US"/>
        </w:rPr>
        <w:t>It contemplates t</w:t>
      </w:r>
      <w:r w:rsidR="00F92C5D" w:rsidRPr="009C04A4">
        <w:rPr>
          <w:lang w:val="en-US"/>
        </w:rPr>
        <w:t xml:space="preserve">he development of the WEB based platform </w:t>
      </w:r>
      <w:r>
        <w:rPr>
          <w:lang w:val="en-US"/>
        </w:rPr>
        <w:t xml:space="preserve">to disseminate the different products and results of the project, as well as to operationalize a mechanism of exchange and compilation of information among the different stakeholders of the project (both, governmental and non-governmental). This WEB based platform will be elaborated in base of the technology needs assessment conducted </w:t>
      </w:r>
      <w:r w:rsidR="00E266F0">
        <w:rPr>
          <w:lang w:val="en-US"/>
        </w:rPr>
        <w:t>with OBSICA in</w:t>
      </w:r>
      <w:r>
        <w:rPr>
          <w:lang w:val="en-US"/>
        </w:rPr>
        <w:t xml:space="preserve"> all beneficiary countries.</w:t>
      </w:r>
    </w:p>
    <w:p w14:paraId="4F609787" w14:textId="310C0DF8" w:rsidR="00F92C5D" w:rsidRPr="009C04A4" w:rsidRDefault="00F92C5D" w:rsidP="009B77F6">
      <w:pPr>
        <w:pStyle w:val="ListParagraph"/>
        <w:spacing w:before="100" w:beforeAutospacing="1" w:after="100" w:afterAutospacing="1" w:line="240" w:lineRule="auto"/>
        <w:ind w:left="284"/>
        <w:contextualSpacing w:val="0"/>
        <w:jc w:val="both"/>
        <w:rPr>
          <w:i/>
          <w:lang w:val="en-US"/>
        </w:rPr>
      </w:pPr>
    </w:p>
    <w:p w14:paraId="47A1E325" w14:textId="77777777" w:rsidR="00F92C5D" w:rsidRPr="009C04A4" w:rsidRDefault="00F92C5D" w:rsidP="009B77F6">
      <w:pPr>
        <w:pStyle w:val="ListParagraph"/>
        <w:spacing w:before="100" w:beforeAutospacing="1" w:after="100" w:afterAutospacing="1" w:line="240" w:lineRule="auto"/>
        <w:ind w:left="284"/>
        <w:contextualSpacing w:val="0"/>
        <w:jc w:val="center"/>
        <w:rPr>
          <w:lang w:val="en-US"/>
        </w:rPr>
      </w:pPr>
      <w:r w:rsidRPr="009C04A4">
        <w:rPr>
          <w:noProof/>
          <w:lang w:eastAsia="es-PA"/>
        </w:rPr>
        <w:drawing>
          <wp:inline distT="0" distB="0" distL="0" distR="0" wp14:anchorId="44B68ABA" wp14:editId="29F4E467">
            <wp:extent cx="2250220" cy="1816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264" cy="1816168"/>
                    </a:xfrm>
                    <a:prstGeom prst="rect">
                      <a:avLst/>
                    </a:prstGeom>
                    <a:noFill/>
                    <a:ln>
                      <a:noFill/>
                    </a:ln>
                  </pic:spPr>
                </pic:pic>
              </a:graphicData>
            </a:graphic>
          </wp:inline>
        </w:drawing>
      </w:r>
    </w:p>
    <w:p w14:paraId="4AEF6DE8" w14:textId="468C394D" w:rsidR="00F92C5D" w:rsidRPr="009C04A4" w:rsidRDefault="00F92C5D"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Project envisages the platform maintenance fees for the first year. The maintenance costs for the second and the third year are not estimated yet, since the platform size is not defined yet. The project has made provisions in miscellaneous component to cover the maintenance costs once defined. On the other hand the Project will work to train and engage the engineers from the participating institutions to provide basic platform maintenance not related to data structure. Costs of these trainings are not included in the sub-grant but are covered </w:t>
      </w:r>
      <w:r w:rsidR="00AB7CF0">
        <w:rPr>
          <w:lang w:val="en-US"/>
        </w:rPr>
        <w:t xml:space="preserve">separately </w:t>
      </w:r>
      <w:r w:rsidRPr="009C04A4">
        <w:rPr>
          <w:lang w:val="en-US"/>
        </w:rPr>
        <w:t>under Workshops lines 114 and 116.</w:t>
      </w:r>
    </w:p>
    <w:p w14:paraId="5E58388B" w14:textId="77777777" w:rsidR="00EA164B" w:rsidRPr="009C04A4" w:rsidRDefault="00EA164B" w:rsidP="009B77F6">
      <w:pPr>
        <w:pStyle w:val="ListParagraph"/>
        <w:numPr>
          <w:ilvl w:val="0"/>
          <w:numId w:val="3"/>
        </w:numPr>
        <w:spacing w:before="100" w:beforeAutospacing="1" w:after="100" w:afterAutospacing="1" w:line="240" w:lineRule="auto"/>
        <w:ind w:left="284" w:hanging="279"/>
        <w:contextualSpacing w:val="0"/>
        <w:jc w:val="both"/>
        <w:rPr>
          <w:i/>
          <w:color w:val="1F497D" w:themeColor="text2"/>
          <w:lang w:val="en-US"/>
        </w:rPr>
      </w:pPr>
      <w:r w:rsidRPr="009C04A4">
        <w:rPr>
          <w:i/>
          <w:color w:val="1F497D" w:themeColor="text2"/>
          <w:lang w:val="en-US"/>
        </w:rPr>
        <w:t>Please provide detailed information and clarification regarding the Sub-grant information. What are the expected products/outputs? The proposed partners are important and key to the activity; however, the budget for Sub-grants needs to provide more detail. The narrative of the technical application does not provide explanation for these Sub-grants, thus the budget proposed does not translate. For example:</w:t>
      </w:r>
    </w:p>
    <w:p w14:paraId="74249322" w14:textId="01554758" w:rsidR="00EA164B" w:rsidRPr="009C04A4" w:rsidRDefault="00EA164B" w:rsidP="009B77F6">
      <w:pPr>
        <w:pStyle w:val="ListParagraph"/>
        <w:numPr>
          <w:ilvl w:val="1"/>
          <w:numId w:val="5"/>
        </w:numPr>
        <w:spacing w:before="100" w:beforeAutospacing="1" w:after="100" w:afterAutospacing="1" w:line="240" w:lineRule="auto"/>
        <w:contextualSpacing w:val="0"/>
        <w:jc w:val="both"/>
        <w:rPr>
          <w:i/>
          <w:color w:val="1F497D" w:themeColor="text2"/>
          <w:lang w:val="en-US"/>
        </w:rPr>
      </w:pPr>
      <w:r w:rsidRPr="009C04A4">
        <w:rPr>
          <w:i/>
          <w:color w:val="1F497D" w:themeColor="text2"/>
          <w:lang w:val="en-US"/>
        </w:rPr>
        <w:t>What is included in the $990,000 for the vic</w:t>
      </w:r>
      <w:r w:rsidR="00AB7CF0">
        <w:rPr>
          <w:i/>
          <w:color w:val="1F497D" w:themeColor="text2"/>
          <w:lang w:val="en-US"/>
        </w:rPr>
        <w:t>timization survey?</w:t>
      </w:r>
    </w:p>
    <w:p w14:paraId="626FAD9A" w14:textId="53D805FE" w:rsidR="00094E61" w:rsidRPr="00EB3DDF" w:rsidRDefault="00094E61" w:rsidP="009B77F6">
      <w:pPr>
        <w:spacing w:before="100" w:beforeAutospacing="1" w:after="100" w:afterAutospacing="1" w:line="240" w:lineRule="auto"/>
        <w:jc w:val="both"/>
        <w:rPr>
          <w:rFonts w:cs="Times New Roman"/>
          <w:lang w:val="en-US"/>
        </w:rPr>
      </w:pPr>
      <w:r w:rsidRPr="00EB3DDF">
        <w:rPr>
          <w:rFonts w:cs="Times New Roman"/>
          <w:lang w:val="en-US"/>
        </w:rPr>
        <w:t xml:space="preserve">The US$ 990,000 is the cumulative cost of </w:t>
      </w:r>
      <w:r w:rsidR="00AB7CF0">
        <w:rPr>
          <w:rFonts w:cs="Times New Roman"/>
          <w:lang w:val="en-US"/>
        </w:rPr>
        <w:t>three</w:t>
      </w:r>
      <w:r w:rsidR="00650DED" w:rsidRPr="00EB3DDF">
        <w:rPr>
          <w:rFonts w:cs="Times New Roman"/>
          <w:lang w:val="en-US"/>
        </w:rPr>
        <w:t xml:space="preserve"> types of surveys: one victimization survey; two M</w:t>
      </w:r>
      <w:r w:rsidR="00E437D0">
        <w:rPr>
          <w:rFonts w:cs="Times New Roman"/>
          <w:lang w:val="en-US"/>
        </w:rPr>
        <w:t>onitoring and Evaluation (M</w:t>
      </w:r>
      <w:r w:rsidR="00650DED" w:rsidRPr="00EB3DDF">
        <w:rPr>
          <w:rFonts w:cs="Times New Roman"/>
          <w:lang w:val="en-US"/>
        </w:rPr>
        <w:t>&amp;E</w:t>
      </w:r>
      <w:r w:rsidR="00E437D0">
        <w:rPr>
          <w:rFonts w:cs="Times New Roman"/>
          <w:lang w:val="en-US"/>
        </w:rPr>
        <w:t>)</w:t>
      </w:r>
      <w:r w:rsidR="00650DED" w:rsidRPr="00EB3DDF">
        <w:rPr>
          <w:rFonts w:cs="Times New Roman"/>
          <w:lang w:val="en-US"/>
        </w:rPr>
        <w:t xml:space="preserve"> Surveys; and three additional surveys and opinion polls</w:t>
      </w:r>
      <w:r w:rsidR="003A21B6">
        <w:rPr>
          <w:rStyle w:val="FootnoteReference"/>
          <w:rFonts w:cs="Times New Roman"/>
          <w:lang w:val="en-US"/>
        </w:rPr>
        <w:footnoteReference w:id="4"/>
      </w:r>
      <w:r w:rsidR="00650DED" w:rsidRPr="00EB3DDF">
        <w:rPr>
          <w:rFonts w:cs="Times New Roman"/>
          <w:lang w:val="en-US"/>
        </w:rPr>
        <w:t>.</w:t>
      </w:r>
      <w:r w:rsidR="00F94072">
        <w:rPr>
          <w:rFonts w:cs="Times New Roman"/>
          <w:lang w:val="en-US"/>
        </w:rPr>
        <w:t xml:space="preserve"> </w:t>
      </w:r>
    </w:p>
    <w:p w14:paraId="3A2D7B0F" w14:textId="7A8BEAFE" w:rsidR="00E017C1" w:rsidRPr="00EB3DDF" w:rsidRDefault="00AB7CF0" w:rsidP="009B77F6">
      <w:pPr>
        <w:spacing w:before="100" w:beforeAutospacing="1" w:after="100" w:afterAutospacing="1" w:line="240" w:lineRule="auto"/>
        <w:jc w:val="both"/>
        <w:rPr>
          <w:rFonts w:cs="Times New Roman"/>
          <w:lang w:val="en-US"/>
        </w:rPr>
      </w:pPr>
      <w:r>
        <w:rPr>
          <w:rFonts w:cs="Times New Roman"/>
          <w:lang w:val="en-US"/>
        </w:rPr>
        <w:t xml:space="preserve">1. </w:t>
      </w:r>
      <w:r w:rsidR="00E017C1" w:rsidRPr="00EB3DDF">
        <w:rPr>
          <w:rFonts w:cs="Times New Roman"/>
          <w:lang w:val="en-US"/>
        </w:rPr>
        <w:t xml:space="preserve">The US$ 740,000 (Item 9, Line 169) for victimization survey includes the estimated costs of developing the questionnaire, the pilot and implementation of national victimization surveys (or module included in national household surveys) in El Salvador, Guatemala, Honduras, Panama and Costa Rica. These countries have been selected on the basis of their previous experience in this </w:t>
      </w:r>
      <w:r>
        <w:rPr>
          <w:rFonts w:cs="Times New Roman"/>
          <w:lang w:val="en-US"/>
        </w:rPr>
        <w:t>area</w:t>
      </w:r>
      <w:r w:rsidR="00E017C1" w:rsidRPr="00EB3DDF">
        <w:rPr>
          <w:rFonts w:cs="Times New Roman"/>
          <w:lang w:val="en-US"/>
        </w:rPr>
        <w:t xml:space="preserve"> and in response to their request for UNDP support. These countries also provide key data for regional CASS strategy of SICA, for OBSICA as well as for the SES project.</w:t>
      </w:r>
    </w:p>
    <w:p w14:paraId="7DD6C417" w14:textId="5C69E2E1" w:rsidR="00E017C1" w:rsidRPr="00EB3DDF" w:rsidRDefault="00AB7CF0" w:rsidP="009B77F6">
      <w:pPr>
        <w:spacing w:before="100" w:beforeAutospacing="1" w:after="100" w:afterAutospacing="1" w:line="240" w:lineRule="auto"/>
        <w:jc w:val="both"/>
        <w:rPr>
          <w:rFonts w:cs="Times New Roman"/>
          <w:lang w:val="en-US"/>
        </w:rPr>
      </w:pPr>
      <w:r>
        <w:rPr>
          <w:rFonts w:cs="Times New Roman"/>
          <w:lang w:val="en-US"/>
        </w:rPr>
        <w:t xml:space="preserve">2. </w:t>
      </w:r>
      <w:r w:rsidR="00E017C1" w:rsidRPr="00EB3DDF">
        <w:rPr>
          <w:rFonts w:cs="Times New Roman"/>
          <w:lang w:val="en-US"/>
        </w:rPr>
        <w:t>The project allocated US$ 100,000 for two M&amp;E surveys, one to establish a baseline and the second to assess the progress of the project in the midterm for possible adjustments. The costs will cover the design of questionnaires, pilot and implementation (Line 169).</w:t>
      </w:r>
    </w:p>
    <w:p w14:paraId="332D97CC" w14:textId="6531A834" w:rsidR="00E017C1" w:rsidRPr="00EB3DDF" w:rsidRDefault="00AB7CF0" w:rsidP="009B77F6">
      <w:pPr>
        <w:spacing w:before="100" w:beforeAutospacing="1" w:after="100" w:afterAutospacing="1" w:line="240" w:lineRule="auto"/>
        <w:jc w:val="both"/>
        <w:rPr>
          <w:rFonts w:cs="Times New Roman"/>
          <w:lang w:val="en-US"/>
        </w:rPr>
      </w:pPr>
      <w:r>
        <w:rPr>
          <w:rFonts w:cs="Times New Roman"/>
          <w:lang w:val="en-US"/>
        </w:rPr>
        <w:lastRenderedPageBreak/>
        <w:t xml:space="preserve">3. </w:t>
      </w:r>
      <w:r w:rsidR="00E017C1" w:rsidRPr="00EB3DDF">
        <w:rPr>
          <w:rFonts w:cs="Times New Roman"/>
          <w:lang w:val="en-US"/>
        </w:rPr>
        <w:t xml:space="preserve">The budget also includes provisions for 3 additional surveys and opinion polls, which will be defined as a result of the situation analysis and consultations with the civil society. Possible issues include citizen culture, emerging crimes and/or institutional indicators for capacity development (Line 169 - US$ 150,000). </w:t>
      </w:r>
    </w:p>
    <w:p w14:paraId="7725473F" w14:textId="77777777" w:rsidR="00860037" w:rsidRPr="00EB3DDF" w:rsidRDefault="00860037" w:rsidP="009B77F6">
      <w:pPr>
        <w:spacing w:before="100" w:beforeAutospacing="1" w:after="100" w:afterAutospacing="1" w:line="240" w:lineRule="auto"/>
        <w:jc w:val="both"/>
        <w:rPr>
          <w:rFonts w:cs="Times New Roman"/>
          <w:lang w:val="en-US"/>
        </w:rPr>
      </w:pPr>
      <w:r w:rsidRPr="00EB3DDF">
        <w:rPr>
          <w:rFonts w:cs="Times New Roman"/>
          <w:lang w:val="en-US"/>
        </w:rPr>
        <w:t xml:space="preserve">The following table provides an overview of </w:t>
      </w:r>
      <w:r w:rsidR="00EB459D" w:rsidRPr="00EB3DDF">
        <w:rPr>
          <w:rFonts w:cs="Times New Roman"/>
          <w:lang w:val="en-US"/>
        </w:rPr>
        <w:t>the proposed surveys:</w:t>
      </w:r>
    </w:p>
    <w:p w14:paraId="3B567A40" w14:textId="76256AB0" w:rsidR="00C503CF" w:rsidRDefault="00C503CF" w:rsidP="009B77F6">
      <w:pPr>
        <w:pStyle w:val="Caption"/>
        <w:spacing w:before="100" w:beforeAutospacing="1" w:after="100" w:afterAutospacing="1"/>
        <w:jc w:val="both"/>
        <w:rPr>
          <w:lang w:val="en-US"/>
        </w:rPr>
      </w:pPr>
      <w:r>
        <w:rPr>
          <w:lang w:val="en-US"/>
        </w:rPr>
        <w:t xml:space="preserve">Table III. </w:t>
      </w:r>
      <w:proofErr w:type="gramStart"/>
      <w:r w:rsidR="00BF5D1A">
        <w:rPr>
          <w:lang w:val="en-US"/>
        </w:rPr>
        <w:t xml:space="preserve">Breakdown of </w:t>
      </w:r>
      <w:r>
        <w:rPr>
          <w:lang w:val="en-US"/>
        </w:rPr>
        <w:t>Survey</w:t>
      </w:r>
      <w:r w:rsidR="00BF5D1A">
        <w:rPr>
          <w:lang w:val="en-US"/>
        </w:rPr>
        <w:t>s.</w:t>
      </w:r>
      <w:proofErr w:type="gramEnd"/>
    </w:p>
    <w:tbl>
      <w:tblPr>
        <w:tblStyle w:val="MediumGrid3-Accent1"/>
        <w:tblW w:w="9465" w:type="dxa"/>
        <w:tblInd w:w="0" w:type="dxa"/>
        <w:tblLayout w:type="fixed"/>
        <w:tblLook w:val="04A0" w:firstRow="1" w:lastRow="0" w:firstColumn="1" w:lastColumn="0" w:noHBand="0" w:noVBand="1"/>
      </w:tblPr>
      <w:tblGrid>
        <w:gridCol w:w="1335"/>
        <w:gridCol w:w="969"/>
        <w:gridCol w:w="1066"/>
        <w:gridCol w:w="1275"/>
        <w:gridCol w:w="1298"/>
        <w:gridCol w:w="1396"/>
        <w:gridCol w:w="1134"/>
        <w:gridCol w:w="992"/>
      </w:tblGrid>
      <w:tr w:rsidR="00C503CF" w14:paraId="4D5860DA" w14:textId="77777777" w:rsidTr="00C503C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7F9CAE08" w14:textId="77777777" w:rsidR="00C503CF" w:rsidRDefault="00C503CF" w:rsidP="009B77F6">
            <w:pPr>
              <w:spacing w:before="100" w:beforeAutospacing="1" w:after="100" w:afterAutospacing="1"/>
              <w:jc w:val="center"/>
              <w:rPr>
                <w:b w:val="0"/>
                <w:bCs w:val="0"/>
                <w:color w:val="FFFFFF"/>
                <w:sz w:val="16"/>
                <w:szCs w:val="16"/>
                <w:lang w:eastAsia="es-PA"/>
              </w:rPr>
            </w:pPr>
            <w:proofErr w:type="spellStart"/>
            <w:r>
              <w:rPr>
                <w:color w:val="FFFFFF"/>
                <w:sz w:val="16"/>
                <w:szCs w:val="16"/>
                <w:lang w:eastAsia="es-PA"/>
              </w:rPr>
              <w:t>Survey</w:t>
            </w:r>
            <w:proofErr w:type="spellEnd"/>
          </w:p>
        </w:tc>
        <w:tc>
          <w:tcPr>
            <w:tcW w:w="969" w:type="dxa"/>
            <w:hideMark/>
          </w:tcPr>
          <w:p w14:paraId="38CD5F5E"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FFFFFF"/>
                <w:sz w:val="16"/>
                <w:szCs w:val="16"/>
                <w:lang w:eastAsia="es-PA"/>
              </w:rPr>
            </w:pPr>
            <w:proofErr w:type="spellStart"/>
            <w:r>
              <w:rPr>
                <w:b w:val="0"/>
                <w:bCs w:val="0"/>
                <w:color w:val="FFFFFF"/>
                <w:sz w:val="16"/>
                <w:szCs w:val="16"/>
                <w:lang w:eastAsia="es-PA"/>
              </w:rPr>
              <w:t>Number</w:t>
            </w:r>
            <w:proofErr w:type="spellEnd"/>
            <w:r>
              <w:rPr>
                <w:b w:val="0"/>
                <w:bCs w:val="0"/>
                <w:color w:val="FFFFFF"/>
                <w:sz w:val="16"/>
                <w:szCs w:val="16"/>
                <w:lang w:eastAsia="es-PA"/>
              </w:rPr>
              <w:t xml:space="preserve"> of </w:t>
            </w:r>
            <w:proofErr w:type="spellStart"/>
            <w:r>
              <w:rPr>
                <w:b w:val="0"/>
                <w:bCs w:val="0"/>
                <w:color w:val="FFFFFF"/>
                <w:sz w:val="16"/>
                <w:szCs w:val="16"/>
                <w:lang w:eastAsia="es-PA"/>
              </w:rPr>
              <w:t>countries</w:t>
            </w:r>
            <w:proofErr w:type="spellEnd"/>
          </w:p>
        </w:tc>
        <w:tc>
          <w:tcPr>
            <w:tcW w:w="1066" w:type="dxa"/>
            <w:hideMark/>
          </w:tcPr>
          <w:p w14:paraId="39D079BB"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FFFFFF"/>
                <w:sz w:val="16"/>
                <w:szCs w:val="16"/>
                <w:lang w:val="en-US" w:eastAsia="es-PA"/>
              </w:rPr>
            </w:pPr>
            <w:r>
              <w:rPr>
                <w:b w:val="0"/>
                <w:bCs w:val="0"/>
                <w:color w:val="FFFFFF"/>
                <w:sz w:val="16"/>
                <w:szCs w:val="16"/>
                <w:lang w:val="en-US" w:eastAsia="es-PA"/>
              </w:rPr>
              <w:t>Aver. No. Questionnaires</w:t>
            </w:r>
          </w:p>
        </w:tc>
        <w:tc>
          <w:tcPr>
            <w:tcW w:w="1275" w:type="dxa"/>
            <w:hideMark/>
          </w:tcPr>
          <w:p w14:paraId="0DDAD9F2"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FFFFFF"/>
                <w:sz w:val="16"/>
                <w:szCs w:val="16"/>
                <w:lang w:val="en-US" w:eastAsia="es-PA"/>
              </w:rPr>
            </w:pPr>
            <w:r>
              <w:rPr>
                <w:color w:val="FFFFFF"/>
                <w:sz w:val="16"/>
                <w:szCs w:val="16"/>
                <w:lang w:val="en-US" w:eastAsia="es-PA"/>
              </w:rPr>
              <w:t>Aver. No of questions per questionnaire</w:t>
            </w:r>
          </w:p>
        </w:tc>
        <w:tc>
          <w:tcPr>
            <w:tcW w:w="1298" w:type="dxa"/>
            <w:noWrap/>
            <w:hideMark/>
          </w:tcPr>
          <w:p w14:paraId="1FE7D8AE"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FFFFFF"/>
                <w:sz w:val="16"/>
                <w:szCs w:val="16"/>
                <w:lang w:val="en-US" w:eastAsia="es-PA"/>
              </w:rPr>
            </w:pPr>
            <w:r>
              <w:rPr>
                <w:color w:val="FFFFFF"/>
                <w:sz w:val="16"/>
                <w:szCs w:val="16"/>
                <w:lang w:val="en-US" w:eastAsia="es-PA"/>
              </w:rPr>
              <w:t>Implementation mechanism</w:t>
            </w:r>
          </w:p>
        </w:tc>
        <w:tc>
          <w:tcPr>
            <w:tcW w:w="1396" w:type="dxa"/>
            <w:noWrap/>
            <w:hideMark/>
          </w:tcPr>
          <w:p w14:paraId="1C7054CB"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FFFFFF"/>
                <w:sz w:val="16"/>
                <w:szCs w:val="16"/>
                <w:lang w:val="en-US" w:eastAsia="es-PA"/>
              </w:rPr>
            </w:pPr>
            <w:r>
              <w:rPr>
                <w:color w:val="FFFFFF"/>
                <w:sz w:val="16"/>
                <w:szCs w:val="16"/>
                <w:lang w:val="en-US" w:eastAsia="es-PA"/>
              </w:rPr>
              <w:t>Includes</w:t>
            </w:r>
          </w:p>
        </w:tc>
        <w:tc>
          <w:tcPr>
            <w:tcW w:w="1134" w:type="dxa"/>
            <w:hideMark/>
          </w:tcPr>
          <w:p w14:paraId="1C71B176"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FFFFFF"/>
                <w:sz w:val="16"/>
                <w:szCs w:val="16"/>
                <w:lang w:val="en-US" w:eastAsia="es-PA"/>
              </w:rPr>
            </w:pPr>
            <w:r>
              <w:rPr>
                <w:color w:val="FFFFFF"/>
                <w:sz w:val="16"/>
                <w:szCs w:val="16"/>
                <w:lang w:val="en-US" w:eastAsia="es-PA"/>
              </w:rPr>
              <w:t>Price per beneficiary (country level)</w:t>
            </w:r>
          </w:p>
        </w:tc>
        <w:tc>
          <w:tcPr>
            <w:tcW w:w="992" w:type="dxa"/>
            <w:hideMark/>
          </w:tcPr>
          <w:p w14:paraId="50B1BACE"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FFFFFF"/>
                <w:sz w:val="16"/>
                <w:szCs w:val="16"/>
                <w:lang w:val="en-US" w:eastAsia="es-PA"/>
              </w:rPr>
            </w:pPr>
            <w:r>
              <w:rPr>
                <w:color w:val="FFFFFF"/>
                <w:sz w:val="16"/>
                <w:szCs w:val="16"/>
                <w:lang w:eastAsia="es-PA"/>
              </w:rPr>
              <w:t xml:space="preserve">Total </w:t>
            </w:r>
            <w:proofErr w:type="spellStart"/>
            <w:r>
              <w:rPr>
                <w:color w:val="FFFFFF"/>
                <w:sz w:val="16"/>
                <w:szCs w:val="16"/>
                <w:lang w:eastAsia="es-PA"/>
              </w:rPr>
              <w:t>Cost</w:t>
            </w:r>
            <w:proofErr w:type="spellEnd"/>
          </w:p>
        </w:tc>
      </w:tr>
      <w:tr w:rsidR="00C503CF" w14:paraId="10E4EFE0" w14:textId="77777777" w:rsidTr="00C503CF">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334" w:type="dxa"/>
            <w:tcBorders>
              <w:bottom w:val="nil"/>
            </w:tcBorders>
            <w:hideMark/>
          </w:tcPr>
          <w:p w14:paraId="52887A3D" w14:textId="77777777" w:rsidR="00C503CF" w:rsidRDefault="00C503CF" w:rsidP="009B77F6">
            <w:pPr>
              <w:spacing w:before="100" w:beforeAutospacing="1" w:after="100" w:afterAutospacing="1"/>
              <w:jc w:val="both"/>
              <w:rPr>
                <w:b w:val="0"/>
                <w:bCs w:val="0"/>
                <w:color w:val="FFFFFF"/>
                <w:sz w:val="16"/>
                <w:szCs w:val="16"/>
                <w:lang w:val="en-US" w:eastAsia="es-PA"/>
              </w:rPr>
            </w:pPr>
            <w:r>
              <w:rPr>
                <w:color w:val="FFFFFF"/>
                <w:sz w:val="16"/>
                <w:szCs w:val="16"/>
                <w:lang w:val="en-US" w:eastAsia="es-PA"/>
              </w:rPr>
              <w:t>Grants To Victimization Survey (Design, Implementation, and tender)</w:t>
            </w:r>
          </w:p>
        </w:tc>
        <w:tc>
          <w:tcPr>
            <w:tcW w:w="969" w:type="dxa"/>
            <w:hideMark/>
          </w:tcPr>
          <w:p w14:paraId="58C65757"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eastAsia="es-PA"/>
              </w:rPr>
            </w:pPr>
            <w:r>
              <w:rPr>
                <w:color w:val="000000"/>
                <w:sz w:val="16"/>
                <w:szCs w:val="16"/>
                <w:lang w:eastAsia="es-PA"/>
              </w:rPr>
              <w:t xml:space="preserve">5 (El Salvador, Guatemala, Honduras, </w:t>
            </w:r>
            <w:proofErr w:type="spellStart"/>
            <w:r>
              <w:rPr>
                <w:color w:val="000000"/>
                <w:sz w:val="16"/>
                <w:szCs w:val="16"/>
                <w:lang w:eastAsia="es-PA"/>
              </w:rPr>
              <w:t>Panama</w:t>
            </w:r>
            <w:proofErr w:type="spellEnd"/>
            <w:r>
              <w:rPr>
                <w:color w:val="000000"/>
                <w:sz w:val="16"/>
                <w:szCs w:val="16"/>
                <w:lang w:eastAsia="es-PA"/>
              </w:rPr>
              <w:t>, and Costa Rica)</w:t>
            </w:r>
          </w:p>
        </w:tc>
        <w:tc>
          <w:tcPr>
            <w:tcW w:w="1066" w:type="dxa"/>
            <w:hideMark/>
          </w:tcPr>
          <w:p w14:paraId="4C1194FF"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eastAsia="es-PA"/>
              </w:rPr>
            </w:pPr>
            <w:r>
              <w:rPr>
                <w:color w:val="000000"/>
                <w:sz w:val="16"/>
                <w:szCs w:val="16"/>
                <w:lang w:eastAsia="es-PA"/>
              </w:rPr>
              <w:t>6000 per country</w:t>
            </w:r>
          </w:p>
        </w:tc>
        <w:tc>
          <w:tcPr>
            <w:tcW w:w="1275" w:type="dxa"/>
            <w:hideMark/>
          </w:tcPr>
          <w:p w14:paraId="598DE628"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25</w:t>
            </w:r>
          </w:p>
        </w:tc>
        <w:tc>
          <w:tcPr>
            <w:tcW w:w="1298" w:type="dxa"/>
            <w:hideMark/>
          </w:tcPr>
          <w:p w14:paraId="33C37F79"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Formulation and implementation through national statistical institute. </w:t>
            </w:r>
          </w:p>
        </w:tc>
        <w:tc>
          <w:tcPr>
            <w:tcW w:w="1396" w:type="dxa"/>
            <w:noWrap/>
            <w:hideMark/>
          </w:tcPr>
          <w:p w14:paraId="6DFE10DB"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Development of the questionnaire, pilot of survey in one city, implementation of the survey for national representation</w:t>
            </w:r>
          </w:p>
        </w:tc>
        <w:tc>
          <w:tcPr>
            <w:tcW w:w="1134" w:type="dxa"/>
            <w:hideMark/>
          </w:tcPr>
          <w:p w14:paraId="46D9A1D6"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   </w:t>
            </w:r>
            <w:r>
              <w:rPr>
                <w:color w:val="000000"/>
                <w:sz w:val="16"/>
                <w:szCs w:val="16"/>
                <w:lang w:eastAsia="es-PA"/>
              </w:rPr>
              <w:t xml:space="preserve">148,000.00 </w:t>
            </w:r>
          </w:p>
        </w:tc>
        <w:tc>
          <w:tcPr>
            <w:tcW w:w="992" w:type="dxa"/>
            <w:hideMark/>
          </w:tcPr>
          <w:p w14:paraId="26226762"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   </w:t>
            </w:r>
            <w:r>
              <w:rPr>
                <w:color w:val="000000"/>
                <w:sz w:val="16"/>
                <w:szCs w:val="16"/>
                <w:lang w:eastAsia="es-PA"/>
              </w:rPr>
              <w:t xml:space="preserve">740,000 </w:t>
            </w:r>
          </w:p>
        </w:tc>
      </w:tr>
      <w:tr w:rsidR="00C503CF" w14:paraId="1AAE51C3" w14:textId="77777777" w:rsidTr="00C503CF">
        <w:trPr>
          <w:trHeight w:val="401"/>
        </w:trPr>
        <w:tc>
          <w:tcPr>
            <w:cnfStyle w:val="001000000000" w:firstRow="0" w:lastRow="0" w:firstColumn="1" w:lastColumn="0" w:oddVBand="0" w:evenVBand="0" w:oddHBand="0" w:evenHBand="0" w:firstRowFirstColumn="0" w:firstRowLastColumn="0" w:lastRowFirstColumn="0" w:lastRowLastColumn="0"/>
            <w:tcW w:w="1334" w:type="dxa"/>
            <w:tcBorders>
              <w:top w:val="single" w:sz="6" w:space="0" w:color="FFFFFF" w:themeColor="background1"/>
              <w:bottom w:val="nil"/>
            </w:tcBorders>
            <w:noWrap/>
            <w:hideMark/>
          </w:tcPr>
          <w:p w14:paraId="39D30C9D" w14:textId="77777777" w:rsidR="00C503CF" w:rsidRDefault="00C503CF" w:rsidP="009B77F6">
            <w:pPr>
              <w:spacing w:before="100" w:beforeAutospacing="1" w:after="100" w:afterAutospacing="1"/>
              <w:jc w:val="both"/>
              <w:rPr>
                <w:b w:val="0"/>
                <w:bCs w:val="0"/>
                <w:color w:val="FFFFFF"/>
                <w:sz w:val="16"/>
                <w:szCs w:val="16"/>
                <w:lang w:val="en-US" w:eastAsia="es-PA"/>
              </w:rPr>
            </w:pPr>
            <w:r>
              <w:rPr>
                <w:color w:val="FFFFFF"/>
                <w:sz w:val="16"/>
                <w:szCs w:val="16"/>
                <w:lang w:val="en-US" w:eastAsia="es-PA"/>
              </w:rPr>
              <w:t>Grants To M&amp;E Survey</w:t>
            </w:r>
          </w:p>
        </w:tc>
        <w:tc>
          <w:tcPr>
            <w:tcW w:w="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7097AB43" w14:textId="667B0336"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es-PA"/>
              </w:rPr>
            </w:pPr>
            <w:r>
              <w:rPr>
                <w:color w:val="000000"/>
                <w:sz w:val="16"/>
                <w:szCs w:val="16"/>
                <w:lang w:eastAsia="es-PA"/>
              </w:rPr>
              <w:t>4 (El Salvador, Guatemala, Honduras, Panamá</w:t>
            </w:r>
            <w:r w:rsidR="00BF5D1A">
              <w:rPr>
                <w:rStyle w:val="FootnoteReference"/>
                <w:color w:val="000000"/>
                <w:sz w:val="16"/>
                <w:szCs w:val="16"/>
                <w:lang w:eastAsia="es-PA"/>
              </w:rPr>
              <w:footnoteReference w:id="5"/>
            </w:r>
            <w:r>
              <w:rPr>
                <w:color w:val="000000"/>
                <w:sz w:val="16"/>
                <w:szCs w:val="16"/>
                <w:lang w:eastAsia="es-PA"/>
              </w:rPr>
              <w:t>)</w:t>
            </w:r>
          </w:p>
        </w:tc>
        <w:tc>
          <w:tcPr>
            <w:tcW w:w="106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05922D71" w14:textId="4742A7D8" w:rsidR="00C503CF" w:rsidRDefault="00992C78" w:rsidP="00992C7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es-PA"/>
              </w:rPr>
            </w:pPr>
            <w:r>
              <w:rPr>
                <w:color w:val="000000"/>
                <w:sz w:val="16"/>
                <w:szCs w:val="16"/>
                <w:lang w:eastAsia="es-PA"/>
              </w:rPr>
              <w:t>70</w:t>
            </w:r>
            <w:r w:rsidR="00C503CF">
              <w:rPr>
                <w:color w:val="000000"/>
                <w:sz w:val="16"/>
                <w:szCs w:val="16"/>
                <w:lang w:eastAsia="es-PA"/>
              </w:rPr>
              <w:t>-</w:t>
            </w:r>
            <w:r>
              <w:rPr>
                <w:color w:val="000000"/>
                <w:sz w:val="16"/>
                <w:szCs w:val="16"/>
                <w:lang w:eastAsia="es-PA"/>
              </w:rPr>
              <w:t>100</w:t>
            </w:r>
            <w:r w:rsidR="00C503CF">
              <w:rPr>
                <w:color w:val="000000"/>
                <w:sz w:val="16"/>
                <w:szCs w:val="16"/>
                <w:lang w:eastAsia="es-PA"/>
              </w:rPr>
              <w:t xml:space="preserve"> per country </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53E60484" w14:textId="77777777"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es-PA"/>
              </w:rPr>
            </w:pPr>
            <w:r>
              <w:rPr>
                <w:color w:val="000000"/>
                <w:sz w:val="16"/>
                <w:szCs w:val="16"/>
                <w:lang w:eastAsia="es-PA"/>
              </w:rPr>
              <w:t>40</w:t>
            </w:r>
          </w:p>
        </w:tc>
        <w:tc>
          <w:tcPr>
            <w:tcW w:w="12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14:paraId="3A482C32" w14:textId="77777777"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Formulation and implementation with private institution. </w:t>
            </w:r>
          </w:p>
        </w:tc>
        <w:tc>
          <w:tcPr>
            <w:tcW w:w="13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14:paraId="7DD457BF" w14:textId="77777777"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val="en-US" w:eastAsia="es-PA"/>
              </w:rPr>
            </w:pPr>
            <w:r>
              <w:rPr>
                <w:color w:val="000000"/>
                <w:sz w:val="16"/>
                <w:szCs w:val="16"/>
                <w:lang w:val="en-US" w:eastAsia="es-PA"/>
              </w:rPr>
              <w:t>Estimates the beneficiaries of project, such as state institutions, SICA, SES SUT coordinators, would be applied among representatives of STU institutions.</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56373591" w14:textId="77777777"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     </w:t>
            </w:r>
            <w:r>
              <w:rPr>
                <w:color w:val="000000"/>
                <w:sz w:val="16"/>
                <w:szCs w:val="16"/>
                <w:lang w:eastAsia="es-PA"/>
              </w:rPr>
              <w:t xml:space="preserve">25,000.00 </w:t>
            </w:r>
          </w:p>
        </w:tc>
        <w:tc>
          <w:tcPr>
            <w:tcW w:w="99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14:paraId="1F0EED32" w14:textId="77777777"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   </w:t>
            </w:r>
            <w:r>
              <w:rPr>
                <w:color w:val="000000"/>
                <w:sz w:val="16"/>
                <w:szCs w:val="16"/>
                <w:lang w:eastAsia="es-PA"/>
              </w:rPr>
              <w:t xml:space="preserve">100,000 </w:t>
            </w:r>
          </w:p>
        </w:tc>
      </w:tr>
      <w:tr w:rsidR="00C503CF" w14:paraId="4168B6A8" w14:textId="77777777" w:rsidTr="00C503C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334" w:type="dxa"/>
            <w:tcBorders>
              <w:bottom w:val="nil"/>
            </w:tcBorders>
            <w:noWrap/>
            <w:hideMark/>
          </w:tcPr>
          <w:p w14:paraId="2C835AF7" w14:textId="55D26184" w:rsidR="00C503CF" w:rsidRDefault="00C503CF" w:rsidP="00992C78">
            <w:pPr>
              <w:spacing w:before="100" w:beforeAutospacing="1" w:after="100" w:afterAutospacing="1"/>
              <w:jc w:val="both"/>
              <w:rPr>
                <w:b w:val="0"/>
                <w:bCs w:val="0"/>
                <w:color w:val="FFFFFF"/>
                <w:sz w:val="16"/>
                <w:szCs w:val="16"/>
                <w:lang w:val="en-US" w:eastAsia="es-PA"/>
              </w:rPr>
            </w:pPr>
            <w:r>
              <w:rPr>
                <w:color w:val="FFFFFF"/>
                <w:sz w:val="16"/>
                <w:szCs w:val="16"/>
                <w:lang w:val="en-US" w:eastAsia="es-PA"/>
              </w:rPr>
              <w:t xml:space="preserve">Grants To </w:t>
            </w:r>
            <w:r w:rsidR="00992C78">
              <w:rPr>
                <w:color w:val="FFFFFF"/>
                <w:sz w:val="16"/>
                <w:szCs w:val="16"/>
                <w:lang w:val="en-US" w:eastAsia="es-PA"/>
              </w:rPr>
              <w:t>in depth</w:t>
            </w:r>
            <w:r w:rsidR="00992C78">
              <w:rPr>
                <w:color w:val="FFFFFF"/>
                <w:sz w:val="16"/>
                <w:szCs w:val="16"/>
                <w:lang w:val="en-US" w:eastAsia="es-PA"/>
              </w:rPr>
              <w:t xml:space="preserve"> </w:t>
            </w:r>
            <w:r>
              <w:rPr>
                <w:color w:val="FFFFFF"/>
                <w:sz w:val="16"/>
                <w:szCs w:val="16"/>
                <w:lang w:val="en-US" w:eastAsia="es-PA"/>
              </w:rPr>
              <w:t>surveys and focus groups</w:t>
            </w:r>
          </w:p>
        </w:tc>
        <w:tc>
          <w:tcPr>
            <w:tcW w:w="969" w:type="dxa"/>
            <w:hideMark/>
          </w:tcPr>
          <w:p w14:paraId="46458741"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eastAsia="es-PA"/>
              </w:rPr>
            </w:pPr>
            <w:r>
              <w:rPr>
                <w:color w:val="000000"/>
                <w:sz w:val="16"/>
                <w:szCs w:val="16"/>
                <w:lang w:eastAsia="es-PA"/>
              </w:rPr>
              <w:t xml:space="preserve">5 (El Salvador, Guatemala, Honduras, </w:t>
            </w:r>
            <w:proofErr w:type="spellStart"/>
            <w:r>
              <w:rPr>
                <w:color w:val="000000"/>
                <w:sz w:val="16"/>
                <w:szCs w:val="16"/>
                <w:lang w:eastAsia="es-PA"/>
              </w:rPr>
              <w:t>Panama</w:t>
            </w:r>
            <w:proofErr w:type="spellEnd"/>
            <w:r>
              <w:rPr>
                <w:color w:val="000000"/>
                <w:sz w:val="16"/>
                <w:szCs w:val="16"/>
                <w:lang w:eastAsia="es-PA"/>
              </w:rPr>
              <w:t>, and Costa Rica)</w:t>
            </w:r>
          </w:p>
        </w:tc>
        <w:tc>
          <w:tcPr>
            <w:tcW w:w="1066" w:type="dxa"/>
            <w:hideMark/>
          </w:tcPr>
          <w:p w14:paraId="74629410"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eastAsia="es-PA"/>
              </w:rPr>
            </w:pPr>
            <w:r>
              <w:rPr>
                <w:color w:val="000000"/>
                <w:sz w:val="16"/>
                <w:szCs w:val="16"/>
                <w:lang w:eastAsia="es-PA"/>
              </w:rPr>
              <w:t>2000 per country</w:t>
            </w:r>
          </w:p>
        </w:tc>
        <w:tc>
          <w:tcPr>
            <w:tcW w:w="1275" w:type="dxa"/>
            <w:hideMark/>
          </w:tcPr>
          <w:p w14:paraId="04D726A6"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eastAsia="es-PA"/>
              </w:rPr>
            </w:pPr>
            <w:r>
              <w:rPr>
                <w:color w:val="000000"/>
                <w:sz w:val="16"/>
                <w:szCs w:val="16"/>
                <w:lang w:eastAsia="es-PA"/>
              </w:rPr>
              <w:t>20-50</w:t>
            </w:r>
          </w:p>
        </w:tc>
        <w:tc>
          <w:tcPr>
            <w:tcW w:w="1298" w:type="dxa"/>
            <w:noWrap/>
            <w:hideMark/>
          </w:tcPr>
          <w:p w14:paraId="4CF25318"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Formulation and implementation through private or public institutions.</w:t>
            </w:r>
          </w:p>
        </w:tc>
        <w:tc>
          <w:tcPr>
            <w:tcW w:w="1396" w:type="dxa"/>
            <w:noWrap/>
            <w:hideMark/>
          </w:tcPr>
          <w:p w14:paraId="076AA0AE"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Development of the questionnaire, pilot of survey in one city, implementation of the survey for national representation. It estimates representation for capitals, to develop studies on other issues, as Coexistence, Citizen Culture among others.</w:t>
            </w:r>
          </w:p>
        </w:tc>
        <w:tc>
          <w:tcPr>
            <w:tcW w:w="1134" w:type="dxa"/>
            <w:hideMark/>
          </w:tcPr>
          <w:p w14:paraId="20A2E856"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     </w:t>
            </w:r>
            <w:r>
              <w:rPr>
                <w:color w:val="000000"/>
                <w:sz w:val="16"/>
                <w:szCs w:val="16"/>
                <w:lang w:eastAsia="es-PA"/>
              </w:rPr>
              <w:t xml:space="preserve">30,000.00 </w:t>
            </w:r>
          </w:p>
        </w:tc>
        <w:tc>
          <w:tcPr>
            <w:tcW w:w="992" w:type="dxa"/>
            <w:hideMark/>
          </w:tcPr>
          <w:p w14:paraId="24B7FCC4" w14:textId="77777777" w:rsidR="00C503CF" w:rsidRDefault="00C503CF" w:rsidP="009B77F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000000"/>
                <w:sz w:val="16"/>
                <w:szCs w:val="16"/>
                <w:lang w:val="en-US" w:eastAsia="es-PA"/>
              </w:rPr>
            </w:pPr>
            <w:r>
              <w:rPr>
                <w:color w:val="000000"/>
                <w:sz w:val="16"/>
                <w:szCs w:val="16"/>
                <w:lang w:val="en-US" w:eastAsia="es-PA"/>
              </w:rPr>
              <w:t xml:space="preserve">   </w:t>
            </w:r>
            <w:r>
              <w:rPr>
                <w:color w:val="000000"/>
                <w:sz w:val="16"/>
                <w:szCs w:val="16"/>
                <w:lang w:eastAsia="es-PA"/>
              </w:rPr>
              <w:t xml:space="preserve">150,000 </w:t>
            </w:r>
          </w:p>
        </w:tc>
      </w:tr>
      <w:tr w:rsidR="00C503CF" w14:paraId="69FE85E2" w14:textId="77777777" w:rsidTr="00C503CF">
        <w:trPr>
          <w:trHeight w:val="398"/>
        </w:trPr>
        <w:tc>
          <w:tcPr>
            <w:cnfStyle w:val="001000000000" w:firstRow="0" w:lastRow="0" w:firstColumn="1" w:lastColumn="0" w:oddVBand="0" w:evenVBand="0" w:oddHBand="0" w:evenHBand="0" w:firstRowFirstColumn="0" w:firstRowLastColumn="0" w:lastRowFirstColumn="0" w:lastRowLastColumn="0"/>
            <w:tcW w:w="8472" w:type="dxa"/>
            <w:gridSpan w:val="7"/>
            <w:tcBorders>
              <w:top w:val="single" w:sz="6" w:space="0" w:color="FFFFFF" w:themeColor="background1"/>
              <w:bottom w:val="single" w:sz="8" w:space="0" w:color="FFFFFF" w:themeColor="background1"/>
            </w:tcBorders>
            <w:noWrap/>
            <w:hideMark/>
          </w:tcPr>
          <w:p w14:paraId="6934217F" w14:textId="77777777" w:rsidR="00C503CF" w:rsidRDefault="00C503CF" w:rsidP="009B77F6">
            <w:pPr>
              <w:spacing w:before="100" w:beforeAutospacing="1" w:after="100" w:afterAutospacing="1"/>
              <w:jc w:val="both"/>
              <w:rPr>
                <w:color w:val="000000"/>
                <w:sz w:val="16"/>
                <w:szCs w:val="16"/>
                <w:lang w:val="en-US" w:eastAsia="es-PA"/>
              </w:rPr>
            </w:pPr>
            <w:r>
              <w:rPr>
                <w:b w:val="0"/>
                <w:bCs w:val="0"/>
                <w:color w:val="FFFFFF"/>
                <w:sz w:val="16"/>
                <w:szCs w:val="16"/>
                <w:lang w:val="en-US" w:eastAsia="es-PA"/>
              </w:rPr>
              <w:t>Total</w:t>
            </w:r>
          </w:p>
        </w:tc>
        <w:tc>
          <w:tcPr>
            <w:tcW w:w="992"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0FF5F682" w14:textId="77777777" w:rsidR="00C503CF" w:rsidRDefault="00C503CF" w:rsidP="009B77F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000000"/>
                <w:sz w:val="16"/>
                <w:szCs w:val="16"/>
                <w:lang w:val="en-US" w:eastAsia="es-PA"/>
              </w:rPr>
            </w:pPr>
            <w:r>
              <w:rPr>
                <w:color w:val="000000"/>
                <w:sz w:val="16"/>
                <w:szCs w:val="16"/>
                <w:lang w:val="en-US" w:eastAsia="es-PA"/>
              </w:rPr>
              <w:t>990,000</w:t>
            </w:r>
          </w:p>
        </w:tc>
      </w:tr>
    </w:tbl>
    <w:p w14:paraId="5444A2E9" w14:textId="72148C71" w:rsidR="00E017C1" w:rsidRPr="00EB3DDF" w:rsidRDefault="00E017C1" w:rsidP="009B77F6">
      <w:pPr>
        <w:spacing w:before="100" w:beforeAutospacing="1" w:after="100" w:afterAutospacing="1" w:line="240" w:lineRule="auto"/>
        <w:jc w:val="both"/>
        <w:rPr>
          <w:rFonts w:cs="Times New Roman"/>
          <w:lang w:val="en-US"/>
        </w:rPr>
      </w:pPr>
      <w:r w:rsidRPr="00EB3DDF">
        <w:rPr>
          <w:rFonts w:cs="Times New Roman"/>
          <w:lang w:val="en-US"/>
        </w:rPr>
        <w:t>The survey cost estimates are based on standard price</w:t>
      </w:r>
      <w:r w:rsidR="00AB7CF0">
        <w:rPr>
          <w:rFonts w:cs="Times New Roman"/>
          <w:lang w:val="en-US"/>
        </w:rPr>
        <w:t xml:space="preserve"> range</w:t>
      </w:r>
      <w:r w:rsidRPr="00EB3DDF">
        <w:rPr>
          <w:rFonts w:cs="Times New Roman"/>
          <w:lang w:val="en-US"/>
        </w:rPr>
        <w:t xml:space="preserve">s established in consultation with the national institutions. The average estimated </w:t>
      </w:r>
      <w:r w:rsidRPr="00EB3DDF">
        <w:rPr>
          <w:rFonts w:cs="Times New Roman"/>
          <w:i/>
          <w:lang w:val="en-US"/>
        </w:rPr>
        <w:t xml:space="preserve">per country </w:t>
      </w:r>
      <w:r w:rsidRPr="00EB3DDF">
        <w:rPr>
          <w:rFonts w:cs="Times New Roman"/>
          <w:lang w:val="en-US"/>
        </w:rPr>
        <w:t>cost for the above 5 countries is US$ 148,000</w:t>
      </w:r>
      <w:r w:rsidR="00DA0E23">
        <w:rPr>
          <w:rFonts w:cs="Times New Roman"/>
          <w:lang w:val="en-US"/>
        </w:rPr>
        <w:t xml:space="preserve"> assuming an average of 6000 questionnaires and around 25-40 questions per survey</w:t>
      </w:r>
      <w:r w:rsidRPr="00EB3DDF">
        <w:rPr>
          <w:rFonts w:cs="Times New Roman"/>
          <w:lang w:val="en-US"/>
        </w:rPr>
        <w:t xml:space="preserve">. </w:t>
      </w:r>
      <w:r w:rsidRPr="00EB3DDF">
        <w:rPr>
          <w:rFonts w:cs="Times New Roman"/>
          <w:lang w:val="en-US"/>
        </w:rPr>
        <w:lastRenderedPageBreak/>
        <w:t xml:space="preserve">Depending on the context, the national governments may opt to conduct separate victimization surveys instead of including victimization modules in the household surveys. In such case, funds allocated for the victimization modules will be channeled to the national statistical institutes to support the implementation of surveys and data disaggregation. </w:t>
      </w:r>
    </w:p>
    <w:p w14:paraId="45F4EDE2" w14:textId="20635869" w:rsidR="00E52353" w:rsidRPr="00EB3DDF" w:rsidRDefault="00E017C1" w:rsidP="009B77F6">
      <w:pPr>
        <w:spacing w:before="100" w:beforeAutospacing="1" w:after="100" w:afterAutospacing="1" w:line="240" w:lineRule="auto"/>
        <w:jc w:val="both"/>
        <w:rPr>
          <w:rFonts w:cs="Times New Roman"/>
          <w:lang w:val="en-US"/>
        </w:rPr>
      </w:pPr>
      <w:r w:rsidRPr="00EB3DDF">
        <w:rPr>
          <w:rFonts w:cs="Times New Roman"/>
          <w:lang w:val="en-US"/>
        </w:rPr>
        <w:t xml:space="preserve">The exact number and subject of surveys will be defined after the situation analysis by SICA, which will identify potential recipients of funds among national statistic offices, which will conduct the surveys. Therefore, it was decided to merge several surveys into one general Survey category, with the total cost of US$ 990,000, which will cover the Victimization, M&amp;E and Other surveys. </w:t>
      </w:r>
    </w:p>
    <w:p w14:paraId="7D586232" w14:textId="7EF99A19" w:rsidR="00E52353" w:rsidRPr="00EB3DDF" w:rsidRDefault="00EA164B" w:rsidP="009B77F6">
      <w:pPr>
        <w:pStyle w:val="ListParagraph"/>
        <w:numPr>
          <w:ilvl w:val="1"/>
          <w:numId w:val="5"/>
        </w:numPr>
        <w:spacing w:before="100" w:beforeAutospacing="1" w:after="100" w:afterAutospacing="1" w:line="240" w:lineRule="auto"/>
        <w:contextualSpacing w:val="0"/>
        <w:jc w:val="both"/>
        <w:rPr>
          <w:i/>
          <w:color w:val="1F497D" w:themeColor="text2"/>
          <w:lang w:val="en-US"/>
        </w:rPr>
      </w:pPr>
      <w:r w:rsidRPr="00EB3DDF">
        <w:rPr>
          <w:i/>
          <w:color w:val="1F497D" w:themeColor="text2"/>
          <w:lang w:val="en-US"/>
        </w:rPr>
        <w:t>What is included in the $426.00</w:t>
      </w:r>
      <w:r w:rsidR="00AB7CF0">
        <w:rPr>
          <w:i/>
          <w:color w:val="1F497D" w:themeColor="text2"/>
          <w:lang w:val="en-US"/>
        </w:rPr>
        <w:t>0 for establishment of the ROC?</w:t>
      </w:r>
    </w:p>
    <w:p w14:paraId="41E363CB" w14:textId="178F9148" w:rsidR="00E017C1" w:rsidRPr="009C04A4" w:rsidRDefault="001148A2" w:rsidP="009B77F6">
      <w:pPr>
        <w:pStyle w:val="ListParagraph"/>
        <w:spacing w:before="100" w:beforeAutospacing="1" w:after="100" w:afterAutospacing="1" w:line="240" w:lineRule="auto"/>
        <w:ind w:left="0"/>
        <w:contextualSpacing w:val="0"/>
        <w:jc w:val="both"/>
        <w:rPr>
          <w:lang w:val="en-US"/>
        </w:rPr>
      </w:pPr>
      <w:r>
        <w:rPr>
          <w:lang w:val="en-US"/>
        </w:rPr>
        <w:t>As mentioned in question number 6, t</w:t>
      </w:r>
      <w:r w:rsidR="00E017C1" w:rsidRPr="009C04A4">
        <w:rPr>
          <w:lang w:val="en-US"/>
        </w:rPr>
        <w:t>he budgeted amount covers the cost of development of a web</w:t>
      </w:r>
      <w:r w:rsidR="00D43E1F">
        <w:rPr>
          <w:lang w:val="en-US"/>
        </w:rPr>
        <w:t>-</w:t>
      </w:r>
      <w:r w:rsidR="00E017C1" w:rsidRPr="009C04A4">
        <w:rPr>
          <w:lang w:val="en-US"/>
        </w:rPr>
        <w:t>based platform, its software design, tests, indicator forma</w:t>
      </w:r>
      <w:r w:rsidR="00E017C1" w:rsidRPr="00994A80">
        <w:rPr>
          <w:lang w:val="en-US"/>
        </w:rPr>
        <w:t>ts, hosting</w:t>
      </w:r>
      <w:r>
        <w:rPr>
          <w:lang w:val="en-US"/>
        </w:rPr>
        <w:t xml:space="preserve"> and maintenance for the entire period of the project</w:t>
      </w:r>
      <w:r w:rsidR="00E017C1" w:rsidRPr="00994A80">
        <w:rPr>
          <w:lang w:val="en-US"/>
        </w:rPr>
        <w:t xml:space="preserve">. </w:t>
      </w:r>
    </w:p>
    <w:p w14:paraId="4B7840B5" w14:textId="77777777" w:rsidR="00EA164B" w:rsidRPr="009C04A4" w:rsidRDefault="00EA164B" w:rsidP="009B77F6">
      <w:pPr>
        <w:pStyle w:val="ListParagraph"/>
        <w:numPr>
          <w:ilvl w:val="1"/>
          <w:numId w:val="5"/>
        </w:numPr>
        <w:spacing w:before="100" w:beforeAutospacing="1" w:after="100" w:afterAutospacing="1" w:line="240" w:lineRule="auto"/>
        <w:contextualSpacing w:val="0"/>
        <w:jc w:val="both"/>
        <w:rPr>
          <w:i/>
          <w:color w:val="1F497D" w:themeColor="text2"/>
          <w:lang w:val="en-US"/>
        </w:rPr>
      </w:pPr>
      <w:r w:rsidRPr="009C04A4">
        <w:rPr>
          <w:i/>
          <w:color w:val="1F497D" w:themeColor="text2"/>
          <w:lang w:val="en-US"/>
        </w:rPr>
        <w:t>What is the $200,000 for CISALVA including? CISALVA is playing a critical role, and this total amount seems an under estimation for the role that they will play in providing technical assistance;</w:t>
      </w:r>
    </w:p>
    <w:p w14:paraId="5F57310D" w14:textId="59842EA7" w:rsidR="00E017C1" w:rsidRPr="009C04A4" w:rsidRDefault="00E017C1" w:rsidP="009B77F6">
      <w:pPr>
        <w:spacing w:before="100" w:beforeAutospacing="1" w:after="100" w:afterAutospacing="1" w:line="240" w:lineRule="auto"/>
        <w:jc w:val="both"/>
        <w:rPr>
          <w:lang w:val="en-US"/>
        </w:rPr>
      </w:pPr>
      <w:r w:rsidRPr="009C04A4">
        <w:rPr>
          <w:lang w:val="en-US"/>
        </w:rPr>
        <w:t xml:space="preserve">The funding of US$ 200,000 </w:t>
      </w:r>
      <w:r w:rsidR="001148A2">
        <w:rPr>
          <w:lang w:val="en-US"/>
        </w:rPr>
        <w:t xml:space="preserve">covers the technical assistance of CISALVA for its support to strengthen the Sub-Technical Units and to provide support to develop technical capabilities. This amount </w:t>
      </w:r>
      <w:r w:rsidRPr="009C04A4">
        <w:rPr>
          <w:lang w:val="en-US"/>
        </w:rPr>
        <w:t>has been agreed with CISALVA</w:t>
      </w:r>
      <w:r w:rsidR="008A2F85">
        <w:rPr>
          <w:lang w:val="en-US"/>
        </w:rPr>
        <w:t xml:space="preserve"> based on their</w:t>
      </w:r>
      <w:r w:rsidR="003B4B60">
        <w:rPr>
          <w:lang w:val="en-US"/>
        </w:rPr>
        <w:t xml:space="preserve"> own</w:t>
      </w:r>
      <w:r w:rsidR="008A2F85">
        <w:rPr>
          <w:lang w:val="en-US"/>
        </w:rPr>
        <w:t xml:space="preserve"> estimate of </w:t>
      </w:r>
      <w:r w:rsidR="00830E43">
        <w:rPr>
          <w:lang w:val="en-US"/>
        </w:rPr>
        <w:t xml:space="preserve">their proposed </w:t>
      </w:r>
      <w:r w:rsidRPr="009C04A4">
        <w:rPr>
          <w:lang w:val="en-US"/>
        </w:rPr>
        <w:t>role</w:t>
      </w:r>
      <w:r w:rsidR="001148A2">
        <w:rPr>
          <w:lang w:val="en-US"/>
        </w:rPr>
        <w:t xml:space="preserve"> as technical provider. The proposed </w:t>
      </w:r>
      <w:r w:rsidR="005E039F">
        <w:rPr>
          <w:lang w:val="en-US"/>
        </w:rPr>
        <w:t>project considers</w:t>
      </w:r>
      <w:r w:rsidR="001148A2">
        <w:rPr>
          <w:lang w:val="en-US"/>
        </w:rPr>
        <w:t xml:space="preserve"> other activities to guarantee the institutional development of the Sub-Technical Units such as workshops, equipment and direct support. The technical support provided by CISALVA</w:t>
      </w:r>
      <w:r w:rsidRPr="009C04A4">
        <w:rPr>
          <w:lang w:val="en-US"/>
        </w:rPr>
        <w:t xml:space="preserve"> covers </w:t>
      </w:r>
      <w:r w:rsidR="00EB3DDF">
        <w:rPr>
          <w:lang w:val="en-US"/>
        </w:rPr>
        <w:t>2</w:t>
      </w:r>
      <w:r w:rsidRPr="009C04A4">
        <w:rPr>
          <w:lang w:val="en-US"/>
        </w:rPr>
        <w:t xml:space="preserve"> components:</w:t>
      </w:r>
    </w:p>
    <w:p w14:paraId="2F019CA3" w14:textId="77777777" w:rsidR="00E017C1" w:rsidRPr="009C04A4" w:rsidRDefault="00E017C1" w:rsidP="009B77F6">
      <w:pPr>
        <w:spacing w:before="100" w:beforeAutospacing="1" w:after="100" w:afterAutospacing="1" w:line="240" w:lineRule="auto"/>
        <w:jc w:val="both"/>
        <w:rPr>
          <w:lang w:val="en-US"/>
        </w:rPr>
      </w:pPr>
      <w:r w:rsidRPr="009C04A4">
        <w:rPr>
          <w:b/>
          <w:lang w:val="en-US"/>
        </w:rPr>
        <w:t>1. Strengthening of the Sub Technical Units - STU</w:t>
      </w:r>
      <w:r w:rsidRPr="009C04A4">
        <w:rPr>
          <w:lang w:val="en-US"/>
        </w:rPr>
        <w:t>:  As a basic structure of the platform of the SES in each country, these inter-institutional entities allowed articulated work of the various citizen security authorities that produce citizen security information in each country. The purpose of the STUs is to enhance the use of information for decision-making and to support the creation of local, national and regional public policies on public safety as an essential component of the SES.</w:t>
      </w:r>
    </w:p>
    <w:p w14:paraId="6BE2D5AE" w14:textId="77777777" w:rsidR="00E017C1" w:rsidRPr="009C04A4" w:rsidRDefault="00E017C1" w:rsidP="009B77F6">
      <w:pPr>
        <w:spacing w:before="100" w:beforeAutospacing="1" w:after="100" w:afterAutospacing="1" w:line="240" w:lineRule="auto"/>
        <w:jc w:val="both"/>
        <w:rPr>
          <w:lang w:val="en-US"/>
        </w:rPr>
      </w:pPr>
      <w:r w:rsidRPr="009C04A4">
        <w:rPr>
          <w:lang w:val="en-US"/>
        </w:rPr>
        <w:t>Two approaches are proposed:</w:t>
      </w:r>
    </w:p>
    <w:p w14:paraId="782C6473" w14:textId="77777777" w:rsidR="00E017C1" w:rsidRPr="009C04A4" w:rsidRDefault="00E017C1" w:rsidP="009B77F6">
      <w:pPr>
        <w:numPr>
          <w:ilvl w:val="0"/>
          <w:numId w:val="6"/>
        </w:numPr>
        <w:spacing w:before="100" w:beforeAutospacing="1" w:after="100" w:afterAutospacing="1" w:line="240" w:lineRule="auto"/>
        <w:jc w:val="both"/>
        <w:rPr>
          <w:lang w:val="en-US"/>
        </w:rPr>
      </w:pPr>
      <w:r w:rsidRPr="009C04A4">
        <w:rPr>
          <w:lang w:val="en-US"/>
        </w:rPr>
        <w:t xml:space="preserve">Enhance the STU structure with an additional staff to contribute to strengthening of national capacities and knowledge. </w:t>
      </w:r>
    </w:p>
    <w:p w14:paraId="5A1693E0" w14:textId="77777777" w:rsidR="00E017C1" w:rsidRPr="009C04A4" w:rsidRDefault="00E017C1" w:rsidP="009B77F6">
      <w:pPr>
        <w:numPr>
          <w:ilvl w:val="0"/>
          <w:numId w:val="6"/>
        </w:numPr>
        <w:spacing w:before="100" w:beforeAutospacing="1" w:after="100" w:afterAutospacing="1" w:line="240" w:lineRule="auto"/>
        <w:jc w:val="both"/>
        <w:rPr>
          <w:lang w:val="en-US"/>
        </w:rPr>
      </w:pPr>
      <w:r w:rsidRPr="009C04A4">
        <w:rPr>
          <w:lang w:val="en-US"/>
        </w:rPr>
        <w:t>Organize thematic trainings and seminars on key issues related to indicator management by sector in order to build institutional competencies for public safety. These regional encounters will include the following:</w:t>
      </w:r>
    </w:p>
    <w:p w14:paraId="2F33DB35" w14:textId="6A701DCE" w:rsidR="00E017C1" w:rsidRPr="009C04A4" w:rsidRDefault="00E017C1" w:rsidP="009B77F6">
      <w:pPr>
        <w:numPr>
          <w:ilvl w:val="0"/>
          <w:numId w:val="7"/>
        </w:numPr>
        <w:spacing w:before="100" w:beforeAutospacing="1" w:after="100" w:afterAutospacing="1" w:line="240" w:lineRule="auto"/>
        <w:jc w:val="both"/>
        <w:rPr>
          <w:lang w:val="en-US"/>
        </w:rPr>
      </w:pPr>
      <w:r w:rsidRPr="009C04A4">
        <w:rPr>
          <w:lang w:val="en-US"/>
        </w:rPr>
        <w:t xml:space="preserve">Working group of </w:t>
      </w:r>
      <w:r w:rsidR="003A21B6">
        <w:rPr>
          <w:lang w:val="en-US"/>
        </w:rPr>
        <w:t>criminological issues</w:t>
      </w:r>
      <w:r w:rsidRPr="009C04A4">
        <w:rPr>
          <w:lang w:val="en-US"/>
        </w:rPr>
        <w:t xml:space="preserve"> related to the production of information and its criminological analysis for planning purposes.</w:t>
      </w:r>
    </w:p>
    <w:p w14:paraId="736D4A21" w14:textId="77777777" w:rsidR="00E017C1" w:rsidRPr="009C04A4" w:rsidRDefault="00E017C1" w:rsidP="009B77F6">
      <w:pPr>
        <w:numPr>
          <w:ilvl w:val="0"/>
          <w:numId w:val="7"/>
        </w:numPr>
        <w:spacing w:before="100" w:beforeAutospacing="1" w:after="100" w:afterAutospacing="1" w:line="240" w:lineRule="auto"/>
        <w:jc w:val="both"/>
        <w:rPr>
          <w:lang w:val="en-US"/>
        </w:rPr>
      </w:pPr>
      <w:r w:rsidRPr="009C04A4">
        <w:rPr>
          <w:lang w:val="en-US"/>
        </w:rPr>
        <w:t xml:space="preserve">Working group within the </w:t>
      </w:r>
      <w:proofErr w:type="gramStart"/>
      <w:r w:rsidRPr="009C04A4">
        <w:rPr>
          <w:lang w:val="en-US"/>
        </w:rPr>
        <w:t>STUs,</w:t>
      </w:r>
      <w:proofErr w:type="gramEnd"/>
      <w:r w:rsidRPr="009C04A4">
        <w:rPr>
          <w:lang w:val="en-US"/>
        </w:rPr>
        <w:t xml:space="preserve"> comprised of public universities from the region. The Working group will produce complementary analysis for public policies on public safety with the CSO participation.</w:t>
      </w:r>
    </w:p>
    <w:p w14:paraId="42C1D7F0" w14:textId="77777777" w:rsidR="00E017C1" w:rsidRPr="009C04A4" w:rsidRDefault="00E017C1" w:rsidP="009B77F6">
      <w:pPr>
        <w:numPr>
          <w:ilvl w:val="0"/>
          <w:numId w:val="7"/>
        </w:numPr>
        <w:spacing w:before="100" w:beforeAutospacing="1" w:after="100" w:afterAutospacing="1" w:line="240" w:lineRule="auto"/>
        <w:jc w:val="both"/>
        <w:rPr>
          <w:lang w:val="en-US"/>
        </w:rPr>
      </w:pPr>
      <w:r w:rsidRPr="009C04A4">
        <w:rPr>
          <w:lang w:val="en-US"/>
        </w:rPr>
        <w:lastRenderedPageBreak/>
        <w:t>Working group of regional forensic medical institutes, which will continue efforts initiated in 2011 and discontinued for the lack of funds.</w:t>
      </w:r>
    </w:p>
    <w:p w14:paraId="2185E715" w14:textId="77777777" w:rsidR="00E017C1" w:rsidRPr="009C04A4" w:rsidRDefault="00E017C1" w:rsidP="009B77F6">
      <w:pPr>
        <w:numPr>
          <w:ilvl w:val="0"/>
          <w:numId w:val="7"/>
        </w:numPr>
        <w:spacing w:before="100" w:beforeAutospacing="1" w:after="100" w:afterAutospacing="1" w:line="240" w:lineRule="auto"/>
        <w:jc w:val="both"/>
        <w:rPr>
          <w:lang w:val="en-US"/>
        </w:rPr>
      </w:pPr>
      <w:r w:rsidRPr="009C04A4">
        <w:rPr>
          <w:lang w:val="en-US"/>
        </w:rPr>
        <w:t>Regional working group of public ministries, which will build on the work initiated in 2011 and discontinued for the lack of funds.</w:t>
      </w:r>
    </w:p>
    <w:p w14:paraId="28FEE2C1" w14:textId="38DD9BAE" w:rsidR="00E017C1" w:rsidRPr="009C04A4" w:rsidRDefault="00E017C1" w:rsidP="009B77F6">
      <w:pPr>
        <w:spacing w:before="100" w:beforeAutospacing="1" w:after="100" w:afterAutospacing="1" w:line="240" w:lineRule="auto"/>
        <w:jc w:val="both"/>
        <w:rPr>
          <w:lang w:val="en-US"/>
        </w:rPr>
      </w:pPr>
      <w:r w:rsidRPr="00994A80">
        <w:rPr>
          <w:lang w:val="en-US"/>
        </w:rPr>
        <w:t>The products of this component are described in Sub-grants on p. 6</w:t>
      </w:r>
      <w:r w:rsidR="00F3777C" w:rsidRPr="00994A80">
        <w:rPr>
          <w:lang w:val="en-US"/>
        </w:rPr>
        <w:t xml:space="preserve"> of the Technical Proposal.</w:t>
      </w:r>
      <w:r w:rsidRPr="009C04A4">
        <w:rPr>
          <w:lang w:val="en-US"/>
        </w:rPr>
        <w:t xml:space="preserve"> </w:t>
      </w:r>
    </w:p>
    <w:p w14:paraId="554DBC96" w14:textId="455017D5" w:rsidR="00E017C1" w:rsidRPr="009C04A4" w:rsidRDefault="00E017C1" w:rsidP="009B77F6">
      <w:pPr>
        <w:spacing w:before="100" w:beforeAutospacing="1" w:after="100" w:afterAutospacing="1" w:line="240" w:lineRule="auto"/>
        <w:jc w:val="both"/>
        <w:rPr>
          <w:lang w:val="en-US"/>
        </w:rPr>
      </w:pPr>
      <w:r w:rsidRPr="009C04A4">
        <w:rPr>
          <w:b/>
          <w:lang w:val="en-US"/>
        </w:rPr>
        <w:t>2. Development of technical capabilities:</w:t>
      </w:r>
      <w:r w:rsidRPr="009C04A4">
        <w:rPr>
          <w:lang w:val="en-US"/>
        </w:rPr>
        <w:t xml:space="preserve"> Continues to be a critical priority for the production of information on citizen security in the region. The project proposes to strengthen two areas:</w:t>
      </w:r>
    </w:p>
    <w:p w14:paraId="2248A25B" w14:textId="77777777" w:rsidR="00E017C1" w:rsidRPr="009C04A4" w:rsidRDefault="00E017C1" w:rsidP="009B77F6">
      <w:pPr>
        <w:numPr>
          <w:ilvl w:val="0"/>
          <w:numId w:val="8"/>
        </w:numPr>
        <w:spacing w:before="100" w:beforeAutospacing="1" w:after="100" w:afterAutospacing="1" w:line="240" w:lineRule="auto"/>
        <w:jc w:val="both"/>
        <w:rPr>
          <w:lang w:val="en-US"/>
        </w:rPr>
      </w:pPr>
      <w:r w:rsidRPr="009C04A4">
        <w:rPr>
          <w:lang w:val="en-US"/>
        </w:rPr>
        <w:t xml:space="preserve">Strengthen the planning capacities of police delegates to STUs for dissemination and production of citizen security information.  </w:t>
      </w:r>
    </w:p>
    <w:p w14:paraId="57894B0F" w14:textId="77777777" w:rsidR="00E017C1" w:rsidRPr="009C04A4" w:rsidRDefault="00E017C1" w:rsidP="009B77F6">
      <w:pPr>
        <w:numPr>
          <w:ilvl w:val="0"/>
          <w:numId w:val="8"/>
        </w:numPr>
        <w:spacing w:before="100" w:beforeAutospacing="1" w:after="100" w:afterAutospacing="1" w:line="240" w:lineRule="auto"/>
        <w:jc w:val="both"/>
        <w:rPr>
          <w:lang w:val="en-US"/>
        </w:rPr>
      </w:pPr>
      <w:r w:rsidRPr="009C04A4">
        <w:rPr>
          <w:lang w:val="en-US"/>
        </w:rPr>
        <w:t>Strengthen the capacities for the production and analysis of local-level information through consolidation of inter-institutional methodologies and information systems through the creation of violence prevention and citizen security observatories.</w:t>
      </w:r>
    </w:p>
    <w:p w14:paraId="49115BA9" w14:textId="2BB0977F" w:rsidR="00EA164B" w:rsidRPr="009C04A4" w:rsidRDefault="00EA164B" w:rsidP="009B77F6">
      <w:pPr>
        <w:pStyle w:val="ListParagraph"/>
        <w:numPr>
          <w:ilvl w:val="1"/>
          <w:numId w:val="5"/>
        </w:numPr>
        <w:spacing w:before="100" w:beforeAutospacing="1" w:after="100" w:afterAutospacing="1" w:line="240" w:lineRule="auto"/>
        <w:contextualSpacing w:val="0"/>
        <w:jc w:val="both"/>
        <w:rPr>
          <w:color w:val="1F497D" w:themeColor="text2"/>
          <w:lang w:val="en-US"/>
        </w:rPr>
      </w:pPr>
      <w:r w:rsidRPr="009C04A4">
        <w:rPr>
          <w:color w:val="1F497D" w:themeColor="text2"/>
          <w:lang w:val="en-US"/>
        </w:rPr>
        <w:t xml:space="preserve">What is the support for the Chamber of Commerce in Panama, and how will this be a </w:t>
      </w:r>
      <w:r w:rsidR="00F45D38">
        <w:rPr>
          <w:color w:val="1F497D" w:themeColor="text2"/>
          <w:lang w:val="en-US"/>
        </w:rPr>
        <w:t>benefit to the work regionally?</w:t>
      </w:r>
    </w:p>
    <w:p w14:paraId="39F63ABC" w14:textId="65F00AA4" w:rsidR="00930DCB" w:rsidRPr="009C04A4" w:rsidRDefault="001148A2" w:rsidP="009B77F6">
      <w:pPr>
        <w:spacing w:before="100" w:beforeAutospacing="1" w:after="100" w:afterAutospacing="1" w:line="240" w:lineRule="auto"/>
        <w:jc w:val="both"/>
        <w:rPr>
          <w:lang w:val="en-US"/>
        </w:rPr>
      </w:pPr>
      <w:r>
        <w:rPr>
          <w:lang w:val="en-US"/>
        </w:rPr>
        <w:t>The participation of private sector organizations has been considered as part of the engagement with civil society within this project. On this regard, the Chamber of Commerce in Panama offers an importan</w:t>
      </w:r>
      <w:r w:rsidR="00A72877">
        <w:rPr>
          <w:lang w:val="en-US"/>
        </w:rPr>
        <w:t>t add value for its relevance on this topic</w:t>
      </w:r>
      <w:r w:rsidR="00930DCB" w:rsidRPr="009C04A4">
        <w:rPr>
          <w:lang w:val="en-US"/>
        </w:rPr>
        <w:t xml:space="preserve">. </w:t>
      </w:r>
      <w:r w:rsidR="00F3777C">
        <w:rPr>
          <w:lang w:val="en-US"/>
        </w:rPr>
        <w:t xml:space="preserve">The </w:t>
      </w:r>
      <w:r w:rsidR="00930DCB" w:rsidRPr="009C04A4">
        <w:rPr>
          <w:lang w:val="en-US"/>
        </w:rPr>
        <w:t>Panamanian Chamber</w:t>
      </w:r>
      <w:r w:rsidR="00DF1514">
        <w:rPr>
          <w:lang w:val="en-US"/>
        </w:rPr>
        <w:t xml:space="preserve"> of Commerce</w:t>
      </w:r>
      <w:r w:rsidR="00930DCB" w:rsidRPr="009C04A4">
        <w:rPr>
          <w:lang w:val="en-US"/>
        </w:rPr>
        <w:t xml:space="preserve"> </w:t>
      </w:r>
      <w:r w:rsidR="00827E20" w:rsidRPr="009C04A4">
        <w:rPr>
          <w:lang w:val="en-US"/>
        </w:rPr>
        <w:t>is a civil society organization that is comprised of registered businesses of Panama</w:t>
      </w:r>
      <w:r w:rsidR="00CB1C7D">
        <w:rPr>
          <w:lang w:val="en-US"/>
        </w:rPr>
        <w:t xml:space="preserve"> and</w:t>
      </w:r>
      <w:r w:rsidR="00CB1C7D" w:rsidRPr="009C04A4">
        <w:rPr>
          <w:lang w:val="en-US"/>
        </w:rPr>
        <w:t xml:space="preserve"> is a key focal point in the country for providing citizen security analysis from a non-governmental standpoint</w:t>
      </w:r>
      <w:r w:rsidR="00A72877">
        <w:rPr>
          <w:lang w:val="en-US"/>
        </w:rPr>
        <w:t>.</w:t>
      </w:r>
      <w:r w:rsidR="00827E20" w:rsidRPr="009C04A4">
        <w:rPr>
          <w:lang w:val="en-US"/>
        </w:rPr>
        <w:t xml:space="preserve"> Four years ago the Chamber established a Citizen Security Observatory within its structure, which was supported by UNDP. </w:t>
      </w:r>
      <w:r w:rsidR="00930DCB" w:rsidRPr="009C04A4">
        <w:rPr>
          <w:lang w:val="en-US"/>
        </w:rPr>
        <w:t xml:space="preserve">The Chamber of Commerce has </w:t>
      </w:r>
      <w:r w:rsidR="00F3777C">
        <w:rPr>
          <w:lang w:val="en-US"/>
        </w:rPr>
        <w:t xml:space="preserve">been selected given that it has </w:t>
      </w:r>
      <w:r w:rsidR="00930DCB" w:rsidRPr="009C04A4">
        <w:rPr>
          <w:lang w:val="en-US"/>
        </w:rPr>
        <w:t>already implemented a series of activities in citizen security information management, has strong linkages with other chambers of commerce</w:t>
      </w:r>
      <w:r w:rsidR="00A72877" w:rsidRPr="00A72877">
        <w:rPr>
          <w:lang w:val="en-US"/>
        </w:rPr>
        <w:t xml:space="preserve"> </w:t>
      </w:r>
      <w:r w:rsidR="00A72877" w:rsidRPr="009C04A4">
        <w:rPr>
          <w:lang w:val="en-US"/>
        </w:rPr>
        <w:t>in the region</w:t>
      </w:r>
      <w:r w:rsidR="00A72877">
        <w:rPr>
          <w:lang w:val="en-US"/>
        </w:rPr>
        <w:t>, facilitating the engagement of peer organizations at the regional level,</w:t>
      </w:r>
      <w:r w:rsidR="00930DCB" w:rsidRPr="009C04A4">
        <w:rPr>
          <w:lang w:val="en-US"/>
        </w:rPr>
        <w:t xml:space="preserve"> and has established working relationships and common language with the Government and other CSOs. </w:t>
      </w:r>
    </w:p>
    <w:p w14:paraId="21E5DE2C" w14:textId="331FAFDF" w:rsidR="00930DCB" w:rsidRPr="009C04A4" w:rsidRDefault="00AD21D4" w:rsidP="009B77F6">
      <w:pPr>
        <w:spacing w:before="100" w:beforeAutospacing="1" w:after="100" w:afterAutospacing="1" w:line="240" w:lineRule="auto"/>
        <w:jc w:val="both"/>
        <w:rPr>
          <w:lang w:val="en-US"/>
        </w:rPr>
      </w:pPr>
      <w:r w:rsidRPr="00994A80">
        <w:rPr>
          <w:lang w:val="en-US"/>
        </w:rPr>
        <w:t>As described in the</w:t>
      </w:r>
      <w:r w:rsidR="00827E20" w:rsidRPr="00994A80">
        <w:rPr>
          <w:lang w:val="en-US"/>
        </w:rPr>
        <w:t xml:space="preserve"> </w:t>
      </w:r>
      <w:r w:rsidR="00930DCB" w:rsidRPr="00994A80">
        <w:rPr>
          <w:lang w:val="en-US"/>
        </w:rPr>
        <w:t xml:space="preserve">component Sub-grants on p. 7 of the previous request for clarification, </w:t>
      </w:r>
      <w:r w:rsidRPr="00994A80">
        <w:rPr>
          <w:lang w:val="en-US"/>
        </w:rPr>
        <w:t>t</w:t>
      </w:r>
      <w:r w:rsidR="00930DCB" w:rsidRPr="00994A80">
        <w:rPr>
          <w:lang w:val="en-US"/>
        </w:rPr>
        <w:t>he sub-</w:t>
      </w:r>
      <w:r w:rsidR="00930DCB" w:rsidRPr="009C04A4">
        <w:rPr>
          <w:lang w:val="en-US"/>
        </w:rPr>
        <w:t xml:space="preserve">grant will cover activities aimed at disseminating the Chamber of Commerce experience in indicator monitoring, participation in victimization surveys and research on </w:t>
      </w:r>
      <w:proofErr w:type="spellStart"/>
      <w:r w:rsidR="00930DCB" w:rsidRPr="009C04A4">
        <w:rPr>
          <w:lang w:val="en-US"/>
        </w:rPr>
        <w:t>conflictivity</w:t>
      </w:r>
      <w:proofErr w:type="spellEnd"/>
      <w:r w:rsidR="00930DCB" w:rsidRPr="009C04A4">
        <w:rPr>
          <w:lang w:val="en-US"/>
        </w:rPr>
        <w:t xml:space="preserve"> issues from the private sector perspective. The sub-grant is expected to produce the methodology of exchange of experiences and collaboration between the civil society and state institutions and support South-South Cooperation exchanges among the civil society.</w:t>
      </w:r>
    </w:p>
    <w:p w14:paraId="4586CC4D" w14:textId="204F0B43" w:rsidR="007A73A0" w:rsidRPr="00994A80" w:rsidRDefault="00EA164B" w:rsidP="009B77F6">
      <w:pPr>
        <w:pStyle w:val="ListParagraph"/>
        <w:numPr>
          <w:ilvl w:val="1"/>
          <w:numId w:val="5"/>
        </w:numPr>
        <w:spacing w:before="100" w:beforeAutospacing="1" w:after="100" w:afterAutospacing="1" w:line="240" w:lineRule="auto"/>
        <w:contextualSpacing w:val="0"/>
        <w:jc w:val="both"/>
        <w:rPr>
          <w:color w:val="1F497D" w:themeColor="text2"/>
          <w:lang w:val="en-US"/>
        </w:rPr>
      </w:pPr>
      <w:r w:rsidRPr="00994A80">
        <w:rPr>
          <w:color w:val="1F497D" w:themeColor="text2"/>
          <w:lang w:val="en-US"/>
        </w:rPr>
        <w:t>Provide an explanation/narrative for the grants to support local observatories, FUNDAUNGO, UNAH, etc. There are sub-grants proposed for local organizations in El Salvador, and in Honduras, but there is no sub-grant proposed for local organization in Guatemala? Also, do you anticipate Sub-grants to local organizations to conduct research projects, is this under the ROC?</w:t>
      </w:r>
    </w:p>
    <w:p w14:paraId="77CC432B" w14:textId="2D13C140" w:rsidR="00A72877" w:rsidRDefault="00A72877" w:rsidP="009B77F6">
      <w:pPr>
        <w:pStyle w:val="ListParagraph"/>
        <w:spacing w:before="100" w:beforeAutospacing="1" w:after="100" w:afterAutospacing="1" w:line="240" w:lineRule="auto"/>
        <w:ind w:left="0"/>
        <w:contextualSpacing w:val="0"/>
        <w:jc w:val="both"/>
        <w:rPr>
          <w:lang w:val="en-US"/>
        </w:rPr>
      </w:pPr>
      <w:r>
        <w:rPr>
          <w:lang w:val="en-US"/>
        </w:rPr>
        <w:t>Grants of civil society and academic organizations have been considered at regional and national level.</w:t>
      </w:r>
    </w:p>
    <w:p w14:paraId="72535233" w14:textId="36076F3D" w:rsidR="005C4038" w:rsidRPr="009C04A4" w:rsidRDefault="00A72877" w:rsidP="009B77F6">
      <w:pPr>
        <w:pStyle w:val="ListParagraph"/>
        <w:spacing w:before="100" w:beforeAutospacing="1" w:after="100" w:afterAutospacing="1" w:line="240" w:lineRule="auto"/>
        <w:ind w:left="0"/>
        <w:contextualSpacing w:val="0"/>
        <w:jc w:val="both"/>
        <w:rPr>
          <w:lang w:val="en-US"/>
        </w:rPr>
      </w:pPr>
      <w:r>
        <w:rPr>
          <w:lang w:val="en-US"/>
        </w:rPr>
        <w:lastRenderedPageBreak/>
        <w:t xml:space="preserve">At regional level, the partnership with organizations such as </w:t>
      </w:r>
      <w:proofErr w:type="gramStart"/>
      <w:r>
        <w:rPr>
          <w:lang w:val="en-US"/>
        </w:rPr>
        <w:t>FLACSO  is</w:t>
      </w:r>
      <w:proofErr w:type="gramEnd"/>
      <w:r>
        <w:rPr>
          <w:lang w:val="en-US"/>
        </w:rPr>
        <w:t xml:space="preserve"> considered as important to improve the academic and research capacity of the region. </w:t>
      </w:r>
      <w:r w:rsidR="00610A95" w:rsidRPr="009C04A4">
        <w:rPr>
          <w:lang w:val="en-US"/>
        </w:rPr>
        <w:t xml:space="preserve">FLACSO is an established regional partner with local branches in several countries of </w:t>
      </w:r>
      <w:r>
        <w:rPr>
          <w:lang w:val="en-US"/>
        </w:rPr>
        <w:t>Central</w:t>
      </w:r>
      <w:r w:rsidRPr="009C04A4">
        <w:rPr>
          <w:lang w:val="en-US"/>
        </w:rPr>
        <w:t xml:space="preserve"> </w:t>
      </w:r>
      <w:r w:rsidR="00610A95" w:rsidRPr="009C04A4">
        <w:rPr>
          <w:lang w:val="en-US"/>
        </w:rPr>
        <w:t>America and strong academic reputation. FLACSO will receive a sub-grant to publish 2-3 state</w:t>
      </w:r>
      <w:r w:rsidR="005C4038">
        <w:rPr>
          <w:lang w:val="en-US"/>
        </w:rPr>
        <w:t>-</w:t>
      </w:r>
      <w:r w:rsidR="00610A95" w:rsidRPr="009C04A4">
        <w:rPr>
          <w:lang w:val="en-US"/>
        </w:rPr>
        <w:t>of</w:t>
      </w:r>
      <w:r w:rsidR="005C4038">
        <w:rPr>
          <w:lang w:val="en-US"/>
        </w:rPr>
        <w:t>-</w:t>
      </w:r>
      <w:r w:rsidR="00610A95" w:rsidRPr="009C04A4">
        <w:rPr>
          <w:lang w:val="en-US"/>
        </w:rPr>
        <w:t>art publications on priority issues identified by the Project</w:t>
      </w:r>
      <w:r w:rsidR="005C4038">
        <w:rPr>
          <w:lang w:val="en-US"/>
        </w:rPr>
        <w:t>,</w:t>
      </w:r>
      <w:r w:rsidR="00610A95" w:rsidRPr="009C04A4">
        <w:rPr>
          <w:lang w:val="en-US"/>
        </w:rPr>
        <w:t xml:space="preserve"> </w:t>
      </w:r>
      <w:r w:rsidR="005C4038">
        <w:rPr>
          <w:lang w:val="en-US"/>
        </w:rPr>
        <w:t xml:space="preserve">which </w:t>
      </w:r>
      <w:r w:rsidR="00610A95" w:rsidRPr="009C04A4">
        <w:rPr>
          <w:lang w:val="en-US"/>
        </w:rPr>
        <w:t>may include gender-based violence, homicides and youth. The sub-grant will cover both the research and printing costs.</w:t>
      </w:r>
    </w:p>
    <w:p w14:paraId="756EDF44" w14:textId="24B7C555" w:rsidR="00C409FB" w:rsidRPr="009C04A4" w:rsidRDefault="00A72877" w:rsidP="009B77F6">
      <w:pPr>
        <w:pStyle w:val="ListParagraph"/>
        <w:spacing w:before="100" w:beforeAutospacing="1" w:after="100" w:afterAutospacing="1" w:line="240" w:lineRule="auto"/>
        <w:ind w:left="0"/>
        <w:contextualSpacing w:val="0"/>
        <w:jc w:val="both"/>
        <w:rPr>
          <w:lang w:val="en-US"/>
        </w:rPr>
      </w:pPr>
      <w:r>
        <w:rPr>
          <w:lang w:val="en-US"/>
        </w:rPr>
        <w:t xml:space="preserve">At the national level, some partnerships will be established with key organizations according to their relevance and capacity on the topic. For instance, </w:t>
      </w:r>
      <w:r w:rsidR="00610A95" w:rsidRPr="009C04A4">
        <w:rPr>
          <w:lang w:val="en-US"/>
        </w:rPr>
        <w:t xml:space="preserve">UNAH is the leading university of Honduras and </w:t>
      </w:r>
      <w:r w:rsidR="00C409FB">
        <w:rPr>
          <w:lang w:val="en-US"/>
        </w:rPr>
        <w:t xml:space="preserve">since </w:t>
      </w:r>
      <w:r w:rsidR="00F45D38">
        <w:rPr>
          <w:lang w:val="en-US"/>
        </w:rPr>
        <w:t>2009</w:t>
      </w:r>
      <w:r w:rsidR="00C409FB">
        <w:rPr>
          <w:lang w:val="en-US"/>
        </w:rPr>
        <w:t xml:space="preserve"> </w:t>
      </w:r>
      <w:r w:rsidR="00610A95" w:rsidRPr="009C04A4">
        <w:rPr>
          <w:lang w:val="en-US"/>
        </w:rPr>
        <w:t xml:space="preserve">has </w:t>
      </w:r>
      <w:r w:rsidR="00F45D38">
        <w:rPr>
          <w:lang w:val="en-US"/>
        </w:rPr>
        <w:t xml:space="preserve">run </w:t>
      </w:r>
      <w:r w:rsidR="00610A95" w:rsidRPr="009C04A4">
        <w:rPr>
          <w:lang w:val="en-US"/>
        </w:rPr>
        <w:t xml:space="preserve">a highly successful and respectable Violence Observatory through its Institute of Democracy, Peace and Security with a renowned capacity for civil society data analysis. The sub-grant will support the analysis and methodological support for academic exchange on security issues; elaboration of methodology for information exchange with civil society organizations; methodological support to regional civil society encounters and South-South exchanges; and publication of 2 methodological guidelines on establishing/strengthening local observatories and key partnerships with universities. </w:t>
      </w:r>
    </w:p>
    <w:p w14:paraId="5227571B" w14:textId="564351E6" w:rsidR="00C409FB" w:rsidRPr="009C04A4" w:rsidRDefault="00610A95" w:rsidP="009B77F6">
      <w:pPr>
        <w:pStyle w:val="ListParagraph"/>
        <w:spacing w:before="100" w:beforeAutospacing="1" w:after="100" w:afterAutospacing="1" w:line="240" w:lineRule="auto"/>
        <w:ind w:left="0"/>
        <w:contextualSpacing w:val="0"/>
        <w:jc w:val="both"/>
        <w:rPr>
          <w:lang w:val="en-US"/>
        </w:rPr>
      </w:pPr>
      <w:r w:rsidRPr="009C04A4">
        <w:rPr>
          <w:lang w:val="en-US"/>
        </w:rPr>
        <w:t>FUNDAUNGO is one of the leading institutions of El Salvador with expertise in knowledge generation and development of capacities of public institutions. Like UNAH, FUNDAUNGO will use the sub-grant to produce state-of-art research publications on youth, gender-based violence, civil society accountability, homicides and/or other priority issues identified by the project. The sub-grant will cover the cost of experts and printing.</w:t>
      </w:r>
    </w:p>
    <w:p w14:paraId="67F7CB61" w14:textId="6CCEE562" w:rsidR="00C409FB" w:rsidRPr="009C04A4" w:rsidRDefault="00610A95" w:rsidP="009B77F6">
      <w:pPr>
        <w:pStyle w:val="ListParagraph"/>
        <w:spacing w:before="100" w:beforeAutospacing="1" w:after="100" w:afterAutospacing="1" w:line="240" w:lineRule="auto"/>
        <w:ind w:left="0"/>
        <w:contextualSpacing w:val="0"/>
        <w:jc w:val="both"/>
        <w:rPr>
          <w:lang w:val="en-US"/>
        </w:rPr>
      </w:pPr>
      <w:r w:rsidRPr="009C04A4">
        <w:rPr>
          <w:lang w:val="en-US"/>
        </w:rPr>
        <w:t>Other sub-grantees will be identified through the situation analysis to be conducted during the first year and will tentatively focus on issues related to civil society and emerging crimes (e.g.</w:t>
      </w:r>
      <w:r w:rsidR="00C409FB">
        <w:rPr>
          <w:lang w:val="en-US"/>
        </w:rPr>
        <w:t xml:space="preserve"> </w:t>
      </w:r>
      <w:r w:rsidRPr="009C04A4">
        <w:rPr>
          <w:lang w:val="en-US"/>
        </w:rPr>
        <w:t>extortions, kidnappings), local and metropolitan observatory methodologies, surveys and/or analysis of citizen coexistence culture. These sub-grantees will be identified on the basis of the relevant expertise and budget proposal.</w:t>
      </w:r>
    </w:p>
    <w:p w14:paraId="5BF9E902" w14:textId="29773789" w:rsidR="00903A20" w:rsidRDefault="002E743B" w:rsidP="009B77F6">
      <w:pPr>
        <w:pStyle w:val="ListParagraph"/>
        <w:spacing w:before="100" w:beforeAutospacing="1" w:after="100" w:afterAutospacing="1" w:line="240" w:lineRule="auto"/>
        <w:ind w:left="0"/>
        <w:contextualSpacing w:val="0"/>
        <w:jc w:val="both"/>
        <w:rPr>
          <w:lang w:val="en-US"/>
        </w:rPr>
      </w:pPr>
      <w:r w:rsidRPr="009C04A4">
        <w:rPr>
          <w:lang w:val="en-US"/>
        </w:rPr>
        <w:t xml:space="preserve">There are </w:t>
      </w:r>
      <w:r w:rsidR="00813FDA">
        <w:rPr>
          <w:lang w:val="en-US"/>
        </w:rPr>
        <w:t>resources estimated to develop a similar work with civil society organizations of Guatemala, but the engagement of CSOs on this topic (information management for citizen security) is much more limited in Guatemala than in other countries. Additional assessments will be required (particularly in terms of organization capacity and technical capacity) to identify a key stakeholder in Guatemala for this purpose</w:t>
      </w:r>
      <w:r w:rsidR="00903A20">
        <w:rPr>
          <w:lang w:val="en-US"/>
        </w:rPr>
        <w:t xml:space="preserve">. </w:t>
      </w:r>
      <w:r w:rsidRPr="009C04A4">
        <w:rPr>
          <w:lang w:val="en-US"/>
        </w:rPr>
        <w:t xml:space="preserve"> The project </w:t>
      </w:r>
      <w:r w:rsidR="00510853">
        <w:rPr>
          <w:lang w:val="en-US"/>
        </w:rPr>
        <w:t>will continue working</w:t>
      </w:r>
      <w:r w:rsidR="00903A20">
        <w:rPr>
          <w:lang w:val="en-US"/>
        </w:rPr>
        <w:t xml:space="preserve"> to </w:t>
      </w:r>
      <w:r w:rsidRPr="009C04A4">
        <w:rPr>
          <w:lang w:val="en-US"/>
        </w:rPr>
        <w:t>identify and strengthen an institution in Guatemala as a contribution to enhancing the civil society capacities for information management and analysis.</w:t>
      </w:r>
      <w:r w:rsidR="006B3EE5">
        <w:rPr>
          <w:lang w:val="en-US"/>
        </w:rPr>
        <w:t xml:space="preserve"> Tentative institutions in Guatemala include IEPADES and </w:t>
      </w:r>
      <w:proofErr w:type="gramStart"/>
      <w:r w:rsidR="006B3EE5">
        <w:rPr>
          <w:lang w:val="en-US"/>
        </w:rPr>
        <w:t>CEG</w:t>
      </w:r>
      <w:r w:rsidR="002B1B20">
        <w:rPr>
          <w:lang w:val="en-US"/>
        </w:rPr>
        <w:t>,</w:t>
      </w:r>
      <w:proofErr w:type="gramEnd"/>
      <w:r w:rsidR="002B1B20">
        <w:rPr>
          <w:lang w:val="en-US"/>
        </w:rPr>
        <w:t xml:space="preserve"> however, the final selection will be done after the situation analysis conducted in Guatemala during the first quarter of the project</w:t>
      </w:r>
      <w:r w:rsidR="009D0683">
        <w:rPr>
          <w:lang w:val="en-US"/>
        </w:rPr>
        <w:t>. The selection criteria will include capacity and expertise and will consider the best value for money and potential impact in the area of citizen security.</w:t>
      </w:r>
    </w:p>
    <w:p w14:paraId="0F106930" w14:textId="2C93170A" w:rsidR="00610A95" w:rsidRPr="009C04A4" w:rsidRDefault="00B94FF0" w:rsidP="009B77F6">
      <w:pPr>
        <w:pStyle w:val="ListParagraph"/>
        <w:spacing w:before="100" w:beforeAutospacing="1" w:after="100" w:afterAutospacing="1" w:line="240" w:lineRule="auto"/>
        <w:ind w:left="0"/>
        <w:contextualSpacing w:val="0"/>
        <w:jc w:val="both"/>
        <w:rPr>
          <w:lang w:val="en-US"/>
        </w:rPr>
      </w:pPr>
      <w:r>
        <w:rPr>
          <w:lang w:val="en-US"/>
        </w:rPr>
        <w:t>At this stage</w:t>
      </w:r>
      <w:r w:rsidR="005E039F">
        <w:rPr>
          <w:lang w:val="en-US"/>
        </w:rPr>
        <w:t xml:space="preserve"> it is not anticipated that</w:t>
      </w:r>
      <w:r>
        <w:rPr>
          <w:lang w:val="en-US"/>
        </w:rPr>
        <w:t xml:space="preserve"> the </w:t>
      </w:r>
      <w:r w:rsidR="00F45D38" w:rsidRPr="00510853">
        <w:rPr>
          <w:lang w:val="en-US"/>
        </w:rPr>
        <w:t xml:space="preserve">project </w:t>
      </w:r>
      <w:r w:rsidR="005E039F">
        <w:rPr>
          <w:lang w:val="en-US"/>
        </w:rPr>
        <w:t xml:space="preserve">will engage with local organization to conduct research. </w:t>
      </w:r>
      <w:r>
        <w:rPr>
          <w:lang w:val="en-US"/>
        </w:rPr>
        <w:t xml:space="preserve">Should the STUs and/or OBSICA identify and suggest </w:t>
      </w:r>
      <w:r w:rsidR="00F45D38" w:rsidRPr="00510853">
        <w:rPr>
          <w:lang w:val="en-US"/>
        </w:rPr>
        <w:t>local institutions</w:t>
      </w:r>
      <w:r w:rsidR="0020358A" w:rsidRPr="00510853">
        <w:rPr>
          <w:lang w:val="en-US"/>
        </w:rPr>
        <w:t xml:space="preserve"> </w:t>
      </w:r>
      <w:r>
        <w:rPr>
          <w:lang w:val="en-US"/>
        </w:rPr>
        <w:t xml:space="preserve">for research projects, </w:t>
      </w:r>
      <w:r w:rsidR="0020358A" w:rsidRPr="00510853">
        <w:rPr>
          <w:lang w:val="en-US"/>
        </w:rPr>
        <w:t xml:space="preserve">the project </w:t>
      </w:r>
      <w:r>
        <w:rPr>
          <w:lang w:val="en-US"/>
        </w:rPr>
        <w:t xml:space="preserve">management </w:t>
      </w:r>
      <w:r w:rsidR="0020358A" w:rsidRPr="00510853">
        <w:rPr>
          <w:lang w:val="en-US"/>
        </w:rPr>
        <w:t xml:space="preserve">will </w:t>
      </w:r>
      <w:r>
        <w:rPr>
          <w:lang w:val="en-US"/>
        </w:rPr>
        <w:t xml:space="preserve">consult </w:t>
      </w:r>
      <w:r w:rsidR="0020358A" w:rsidRPr="00510853">
        <w:rPr>
          <w:lang w:val="en-US"/>
        </w:rPr>
        <w:t xml:space="preserve">with the USAID to </w:t>
      </w:r>
      <w:r>
        <w:rPr>
          <w:lang w:val="en-US"/>
        </w:rPr>
        <w:t>discuss</w:t>
      </w:r>
      <w:r w:rsidR="005E039F">
        <w:rPr>
          <w:lang w:val="en-US"/>
        </w:rPr>
        <w:t xml:space="preserve"> possible</w:t>
      </w:r>
      <w:r>
        <w:rPr>
          <w:lang w:val="en-US"/>
        </w:rPr>
        <w:t xml:space="preserve"> mechanism to </w:t>
      </w:r>
      <w:r w:rsidR="0020358A" w:rsidRPr="00510853">
        <w:rPr>
          <w:lang w:val="en-US"/>
        </w:rPr>
        <w:t>support th</w:t>
      </w:r>
      <w:r w:rsidR="005E039F">
        <w:rPr>
          <w:lang w:val="en-US"/>
        </w:rPr>
        <w:t>e</w:t>
      </w:r>
      <w:r w:rsidR="0020358A" w:rsidRPr="00510853">
        <w:rPr>
          <w:lang w:val="en-US"/>
        </w:rPr>
        <w:t>se local institutions</w:t>
      </w:r>
      <w:r w:rsidR="000D5493" w:rsidRPr="00510853">
        <w:rPr>
          <w:lang w:val="en-US"/>
        </w:rPr>
        <w:t>.</w:t>
      </w:r>
    </w:p>
    <w:p w14:paraId="03A0080B" w14:textId="642A32A9" w:rsidR="00EA164B" w:rsidRPr="009C04A4" w:rsidRDefault="00EA164B" w:rsidP="009B77F6">
      <w:pPr>
        <w:pStyle w:val="ListParagraph"/>
        <w:numPr>
          <w:ilvl w:val="1"/>
          <w:numId w:val="5"/>
        </w:numPr>
        <w:spacing w:before="100" w:beforeAutospacing="1" w:after="100" w:afterAutospacing="1" w:line="240" w:lineRule="auto"/>
        <w:contextualSpacing w:val="0"/>
        <w:jc w:val="both"/>
        <w:rPr>
          <w:color w:val="1F497D" w:themeColor="text2"/>
          <w:lang w:val="en-US"/>
        </w:rPr>
      </w:pPr>
      <w:r w:rsidRPr="009C04A4">
        <w:rPr>
          <w:color w:val="1F497D" w:themeColor="text2"/>
          <w:lang w:val="en-US"/>
        </w:rPr>
        <w:t>What is this work related to "</w:t>
      </w:r>
      <w:proofErr w:type="spellStart"/>
      <w:r w:rsidRPr="009C04A4">
        <w:rPr>
          <w:color w:val="1F497D" w:themeColor="text2"/>
          <w:lang w:val="en-US"/>
        </w:rPr>
        <w:t>C</w:t>
      </w:r>
      <w:r w:rsidR="00AF4C2B">
        <w:rPr>
          <w:color w:val="1F497D" w:themeColor="text2"/>
          <w:lang w:val="en-US"/>
        </w:rPr>
        <w:t>ó</w:t>
      </w:r>
      <w:r w:rsidRPr="009C04A4">
        <w:rPr>
          <w:color w:val="1F497D" w:themeColor="text2"/>
          <w:lang w:val="en-US"/>
        </w:rPr>
        <w:t>mo</w:t>
      </w:r>
      <w:proofErr w:type="spellEnd"/>
      <w:r w:rsidRPr="009C04A4">
        <w:rPr>
          <w:color w:val="1F497D" w:themeColor="text2"/>
          <w:lang w:val="en-US"/>
        </w:rPr>
        <w:t xml:space="preserve"> </w:t>
      </w:r>
      <w:proofErr w:type="spellStart"/>
      <w:r w:rsidRPr="009C04A4">
        <w:rPr>
          <w:color w:val="1F497D" w:themeColor="text2"/>
          <w:lang w:val="en-US"/>
        </w:rPr>
        <w:t>Vamos</w:t>
      </w:r>
      <w:proofErr w:type="spellEnd"/>
      <w:r w:rsidRPr="009C04A4">
        <w:rPr>
          <w:color w:val="1F497D" w:themeColor="text2"/>
          <w:lang w:val="en-US"/>
        </w:rPr>
        <w:t>"? The technical application does not provide a clear description of this initiative, but is reflected in the budget.</w:t>
      </w:r>
    </w:p>
    <w:p w14:paraId="0883C056" w14:textId="7103DB41" w:rsidR="00EA164B" w:rsidRPr="009C04A4" w:rsidRDefault="00930DCB" w:rsidP="009B77F6">
      <w:pPr>
        <w:pStyle w:val="ListParagraph"/>
        <w:spacing w:before="100" w:beforeAutospacing="1" w:after="100" w:afterAutospacing="1" w:line="240" w:lineRule="auto"/>
        <w:ind w:left="0"/>
        <w:contextualSpacing w:val="0"/>
        <w:jc w:val="both"/>
        <w:rPr>
          <w:lang w:val="en-US"/>
        </w:rPr>
      </w:pPr>
      <w:proofErr w:type="spellStart"/>
      <w:r w:rsidRPr="00C503CF">
        <w:rPr>
          <w:i/>
          <w:lang w:val="en-US"/>
        </w:rPr>
        <w:lastRenderedPageBreak/>
        <w:t>Cómo</w:t>
      </w:r>
      <w:proofErr w:type="spellEnd"/>
      <w:r w:rsidRPr="00C503CF">
        <w:rPr>
          <w:i/>
          <w:lang w:val="en-US"/>
        </w:rPr>
        <w:t xml:space="preserve"> </w:t>
      </w:r>
      <w:proofErr w:type="spellStart"/>
      <w:r w:rsidRPr="00C503CF">
        <w:rPr>
          <w:i/>
          <w:lang w:val="en-US"/>
        </w:rPr>
        <w:t>vamos</w:t>
      </w:r>
      <w:proofErr w:type="spellEnd"/>
      <w:r w:rsidRPr="009C04A4">
        <w:rPr>
          <w:lang w:val="en-US"/>
        </w:rPr>
        <w:t xml:space="preserve"> is a citizen-driven monitoring mechanism which created the methodology to assess the quality of urban </w:t>
      </w:r>
      <w:r w:rsidR="00813FDA">
        <w:rPr>
          <w:lang w:val="en-US"/>
        </w:rPr>
        <w:t>coexistence</w:t>
      </w:r>
      <w:r w:rsidR="00813FDA" w:rsidRPr="009C04A4">
        <w:rPr>
          <w:lang w:val="en-US"/>
        </w:rPr>
        <w:t xml:space="preserve"> </w:t>
      </w:r>
      <w:r w:rsidRPr="009C04A4">
        <w:rPr>
          <w:lang w:val="en-US"/>
        </w:rPr>
        <w:t xml:space="preserve">variations by technical and perception-based indicators. The </w:t>
      </w:r>
      <w:r w:rsidR="00813FDA">
        <w:rPr>
          <w:lang w:val="en-US"/>
        </w:rPr>
        <w:t xml:space="preserve">Bogota Chamber of Commerce developed a </w:t>
      </w:r>
      <w:r w:rsidRPr="009C04A4">
        <w:rPr>
          <w:lang w:val="en-US"/>
        </w:rPr>
        <w:t xml:space="preserve">think-tank </w:t>
      </w:r>
      <w:r w:rsidR="00813FDA">
        <w:rPr>
          <w:lang w:val="en-US"/>
        </w:rPr>
        <w:t xml:space="preserve">to develop this methodology in other contexts. </w:t>
      </w:r>
      <w:proofErr w:type="spellStart"/>
      <w:r w:rsidRPr="00C503CF">
        <w:rPr>
          <w:i/>
          <w:lang w:val="en-US"/>
        </w:rPr>
        <w:t>Cómo</w:t>
      </w:r>
      <w:proofErr w:type="spellEnd"/>
      <w:r w:rsidRPr="00C503CF">
        <w:rPr>
          <w:i/>
          <w:lang w:val="en-US"/>
        </w:rPr>
        <w:t xml:space="preserve"> </w:t>
      </w:r>
      <w:proofErr w:type="spellStart"/>
      <w:r w:rsidRPr="00C503CF">
        <w:rPr>
          <w:i/>
          <w:lang w:val="en-US"/>
        </w:rPr>
        <w:t>vamos</w:t>
      </w:r>
      <w:proofErr w:type="spellEnd"/>
      <w:r w:rsidRPr="009C04A4">
        <w:rPr>
          <w:lang w:val="en-US"/>
        </w:rPr>
        <w:t xml:space="preserve"> are pioneers in the area of </w:t>
      </w:r>
      <w:r w:rsidR="00813FDA">
        <w:rPr>
          <w:lang w:val="en-US"/>
        </w:rPr>
        <w:t xml:space="preserve">social audit and </w:t>
      </w:r>
      <w:r w:rsidRPr="009C04A4">
        <w:rPr>
          <w:lang w:val="en-US"/>
        </w:rPr>
        <w:t>monitoring citizen security and coexistence indicators from the civil society standpoint and complementing the government analysis with their own unique methodology. Their experience</w:t>
      </w:r>
      <w:r w:rsidR="006258BB">
        <w:rPr>
          <w:lang w:val="en-US"/>
        </w:rPr>
        <w:t>, requested by different countries of the region such as El Salvador,</w:t>
      </w:r>
      <w:r w:rsidRPr="009C04A4">
        <w:rPr>
          <w:lang w:val="en-US"/>
        </w:rPr>
        <w:t xml:space="preserve"> will be used to adapt the existing methodology for Central America, conduct trainings and provide technical support to the participating countries for its implementation. The sub-grantee has been selected based on the fact </w:t>
      </w:r>
      <w:proofErr w:type="spellStart"/>
      <w:r w:rsidRPr="009C04A4">
        <w:rPr>
          <w:lang w:val="en-US"/>
        </w:rPr>
        <w:t>Cómo</w:t>
      </w:r>
      <w:proofErr w:type="spellEnd"/>
      <w:r w:rsidRPr="009C04A4">
        <w:rPr>
          <w:lang w:val="en-US"/>
        </w:rPr>
        <w:t xml:space="preserve"> </w:t>
      </w:r>
      <w:proofErr w:type="spellStart"/>
      <w:r w:rsidRPr="009C04A4">
        <w:rPr>
          <w:lang w:val="en-US"/>
        </w:rPr>
        <w:t>vamos</w:t>
      </w:r>
      <w:proofErr w:type="spellEnd"/>
      <w:r w:rsidRPr="009C04A4">
        <w:rPr>
          <w:lang w:val="en-US"/>
        </w:rPr>
        <w:t xml:space="preserve"> is the only entity with the methodology to link CSOs and state institutions in the area of citizen security in the region. (</w:t>
      </w:r>
      <w:r w:rsidR="000D5493" w:rsidRPr="009C04A4">
        <w:rPr>
          <w:lang w:val="en-US"/>
        </w:rPr>
        <w:t>See</w:t>
      </w:r>
      <w:r w:rsidRPr="009C04A4">
        <w:rPr>
          <w:lang w:val="en-US"/>
        </w:rPr>
        <w:t xml:space="preserve"> the case of Bogota </w:t>
      </w:r>
      <w:hyperlink r:id="rId10" w:history="1">
        <w:r w:rsidR="00610A95" w:rsidRPr="009C04A4">
          <w:rPr>
            <w:rStyle w:val="Hyperlink"/>
            <w:lang w:val="en-US"/>
          </w:rPr>
          <w:t>http://www.bogotacomovamos.org/acerca-de/quienes-somos/</w:t>
        </w:r>
      </w:hyperlink>
      <w:r w:rsidRPr="009C04A4">
        <w:rPr>
          <w:lang w:val="en-US"/>
        </w:rPr>
        <w:t>).</w:t>
      </w:r>
    </w:p>
    <w:p w14:paraId="4176681A" w14:textId="1392202C" w:rsidR="00610A95" w:rsidRPr="009C04A4" w:rsidRDefault="00D52009" w:rsidP="009B77F6">
      <w:pPr>
        <w:spacing w:before="100" w:beforeAutospacing="1" w:after="100" w:afterAutospacing="1" w:line="240" w:lineRule="auto"/>
        <w:jc w:val="both"/>
        <w:rPr>
          <w:lang w:val="en-US"/>
        </w:rPr>
      </w:pPr>
      <w:r w:rsidRPr="00D406E6">
        <w:rPr>
          <w:lang w:val="en-US"/>
        </w:rPr>
        <w:t xml:space="preserve">Please see Footnote 38 </w:t>
      </w:r>
      <w:r>
        <w:rPr>
          <w:lang w:val="en-US"/>
        </w:rPr>
        <w:t>on page 13</w:t>
      </w:r>
      <w:r w:rsidRPr="00D406E6">
        <w:rPr>
          <w:lang w:val="en-US"/>
        </w:rPr>
        <w:t xml:space="preserve"> of the technical proposal</w:t>
      </w:r>
      <w:r>
        <w:rPr>
          <w:lang w:val="en-US"/>
        </w:rPr>
        <w:t xml:space="preserve"> for a</w:t>
      </w:r>
      <w:r w:rsidRPr="00D406E6">
        <w:rPr>
          <w:lang w:val="en-US"/>
        </w:rPr>
        <w:t xml:space="preserve"> reference to the activity. Please also refer to the description on </w:t>
      </w:r>
      <w:r w:rsidRPr="00510941">
        <w:rPr>
          <w:lang w:val="en-US"/>
        </w:rPr>
        <w:t>p. 12 of this document.</w:t>
      </w:r>
      <w:r w:rsidRPr="009C04A4">
        <w:rPr>
          <w:lang w:val="en-US"/>
        </w:rPr>
        <w:t xml:space="preserve"> </w:t>
      </w:r>
    </w:p>
    <w:p w14:paraId="76848482" w14:textId="77777777" w:rsidR="00EA164B" w:rsidRPr="009C04A4" w:rsidRDefault="00EA164B" w:rsidP="009B77F6">
      <w:pPr>
        <w:pStyle w:val="ListParagraph"/>
        <w:spacing w:before="100" w:beforeAutospacing="1" w:after="100" w:afterAutospacing="1" w:line="240" w:lineRule="auto"/>
        <w:ind w:left="0"/>
        <w:contextualSpacing w:val="0"/>
        <w:jc w:val="both"/>
        <w:rPr>
          <w:b/>
          <w:lang w:val="en-US"/>
        </w:rPr>
      </w:pPr>
      <w:r w:rsidRPr="009C04A4">
        <w:rPr>
          <w:b/>
          <w:lang w:val="en-US"/>
        </w:rPr>
        <w:t>Equipment</w:t>
      </w:r>
    </w:p>
    <w:p w14:paraId="54DC71FA" w14:textId="77777777" w:rsidR="00EA164B" w:rsidRPr="009C04A4" w:rsidRDefault="00EA164B" w:rsidP="009B77F6">
      <w:pPr>
        <w:spacing w:before="100" w:beforeAutospacing="1" w:after="100" w:afterAutospacing="1" w:line="240" w:lineRule="auto"/>
        <w:jc w:val="both"/>
        <w:rPr>
          <w:lang w:val="en-US"/>
        </w:rPr>
      </w:pPr>
      <w:r w:rsidRPr="009C04A4">
        <w:rPr>
          <w:lang w:val="en-US"/>
        </w:rPr>
        <w:t xml:space="preserve">In general, a cost breakdown and more detailed information/narrative are needed in this line item. </w:t>
      </w:r>
    </w:p>
    <w:p w14:paraId="280D5C50" w14:textId="77777777" w:rsidR="00EA164B" w:rsidRPr="009C04A4" w:rsidRDefault="00EA164B" w:rsidP="009B77F6">
      <w:pPr>
        <w:pStyle w:val="ListParagraph"/>
        <w:numPr>
          <w:ilvl w:val="0"/>
          <w:numId w:val="3"/>
        </w:numPr>
        <w:spacing w:before="100" w:beforeAutospacing="1" w:after="100" w:afterAutospacing="1" w:line="240" w:lineRule="auto"/>
        <w:ind w:left="284" w:hanging="279"/>
        <w:contextualSpacing w:val="0"/>
        <w:jc w:val="both"/>
        <w:rPr>
          <w:color w:val="1F497D" w:themeColor="text2"/>
          <w:lang w:val="en-US"/>
        </w:rPr>
      </w:pPr>
      <w:r w:rsidRPr="009C04A4">
        <w:rPr>
          <w:color w:val="1F497D" w:themeColor="text2"/>
          <w:lang w:val="en-US"/>
        </w:rPr>
        <w:t>The overall estimation of equipment needed (by SICA and at the national level) seems under-estimated.  There is no funding for the purchase of projectors for example, or an estimate for the purchase of computer equipment for OBSICA and national level institutional needs.</w:t>
      </w:r>
    </w:p>
    <w:p w14:paraId="255DCDF7" w14:textId="0A7991DB" w:rsidR="00EB7BBB" w:rsidRDefault="002D5BFD" w:rsidP="009B77F6">
      <w:pPr>
        <w:spacing w:before="100" w:beforeAutospacing="1" w:after="100" w:afterAutospacing="1" w:line="240" w:lineRule="auto"/>
        <w:ind w:left="5"/>
        <w:jc w:val="both"/>
        <w:rPr>
          <w:lang w:val="en-US"/>
        </w:rPr>
      </w:pPr>
      <w:r w:rsidRPr="009C04A4">
        <w:rPr>
          <w:lang w:val="en-US"/>
        </w:rPr>
        <w:t>The project envision</w:t>
      </w:r>
      <w:r w:rsidR="00607E8A">
        <w:rPr>
          <w:lang w:val="en-US"/>
        </w:rPr>
        <w:t>s</w:t>
      </w:r>
      <w:r w:rsidR="00510941">
        <w:rPr>
          <w:lang w:val="en-US"/>
        </w:rPr>
        <w:t xml:space="preserve"> </w:t>
      </w:r>
      <w:r w:rsidR="00607E8A">
        <w:rPr>
          <w:lang w:val="en-US"/>
        </w:rPr>
        <w:t xml:space="preserve">procurement of 82 </w:t>
      </w:r>
      <w:r w:rsidRPr="009C04A4">
        <w:rPr>
          <w:lang w:val="en-US"/>
        </w:rPr>
        <w:t xml:space="preserve">computers </w:t>
      </w:r>
      <w:r w:rsidR="003A35A3">
        <w:rPr>
          <w:lang w:val="en-US"/>
        </w:rPr>
        <w:t xml:space="preserve">and basic office equipment </w:t>
      </w:r>
      <w:r w:rsidRPr="009C04A4">
        <w:rPr>
          <w:lang w:val="en-US"/>
        </w:rPr>
        <w:t>for focal national points and STU support Units</w:t>
      </w:r>
      <w:r w:rsidR="003A35A3">
        <w:rPr>
          <w:lang w:val="en-US"/>
        </w:rPr>
        <w:t xml:space="preserve">. </w:t>
      </w:r>
      <w:r w:rsidR="006258BB">
        <w:rPr>
          <w:lang w:val="en-US"/>
        </w:rPr>
        <w:t xml:space="preserve">This investment will be conducted as a complement of the </w:t>
      </w:r>
      <w:r w:rsidR="006A09E1">
        <w:rPr>
          <w:lang w:val="en-US"/>
        </w:rPr>
        <w:t>ongoing</w:t>
      </w:r>
      <w:r w:rsidR="006258BB">
        <w:rPr>
          <w:lang w:val="en-US"/>
        </w:rPr>
        <w:t xml:space="preserve"> efforts conducted by other donors, including USAID and UNDP. For instance, </w:t>
      </w:r>
      <w:r w:rsidR="00FC117F">
        <w:rPr>
          <w:lang w:val="en-US"/>
        </w:rPr>
        <w:t xml:space="preserve">UNDP has already invested </w:t>
      </w:r>
      <w:r w:rsidR="00B36E20">
        <w:rPr>
          <w:lang w:val="en-US"/>
        </w:rPr>
        <w:t xml:space="preserve">US$ 5,660,768 in information management infrastructure, software and support to the National </w:t>
      </w:r>
      <w:r w:rsidR="008C7396">
        <w:rPr>
          <w:lang w:val="en-US"/>
        </w:rPr>
        <w:t xml:space="preserve">Management System in Guatemala, through the Integrated Technological Platform of the Governance Ministry. </w:t>
      </w:r>
      <w:r w:rsidR="004F0633">
        <w:rPr>
          <w:lang w:val="en-US"/>
        </w:rPr>
        <w:t>The US$ 2,</w:t>
      </w:r>
      <w:r w:rsidR="009E0E1A">
        <w:rPr>
          <w:lang w:val="en-US"/>
        </w:rPr>
        <w:t xml:space="preserve">724,000 of UNDP/USAID funds allocated for the Crisis Prevention and Recuperation Project in </w:t>
      </w:r>
      <w:r w:rsidR="00614097">
        <w:rPr>
          <w:lang w:val="en-US"/>
        </w:rPr>
        <w:t>Honduras</w:t>
      </w:r>
      <w:r w:rsidR="009E0E1A">
        <w:rPr>
          <w:lang w:val="en-US"/>
        </w:rPr>
        <w:t xml:space="preserve"> included a strong infrastructure component for local observatories and </w:t>
      </w:r>
      <w:r w:rsidR="00377634">
        <w:rPr>
          <w:lang w:val="en-US"/>
        </w:rPr>
        <w:t>local government offices. There</w:t>
      </w:r>
      <w:r w:rsidR="006258BB">
        <w:rPr>
          <w:lang w:val="en-US"/>
        </w:rPr>
        <w:t xml:space="preserve"> are other donors investing in</w:t>
      </w:r>
      <w:r w:rsidR="00377634">
        <w:rPr>
          <w:lang w:val="en-US"/>
        </w:rPr>
        <w:t xml:space="preserve"> infrastructural capacity in El Salvador to allow the implementation of the project without </w:t>
      </w:r>
      <w:r w:rsidR="00EB7BBB">
        <w:rPr>
          <w:lang w:val="en-US"/>
        </w:rPr>
        <w:t xml:space="preserve">additional investments in infrastructure. Likewise, there is sufficient information management infrastructure in OBSICA, which </w:t>
      </w:r>
      <w:r w:rsidR="0079400E">
        <w:rPr>
          <w:lang w:val="en-US"/>
        </w:rPr>
        <w:t xml:space="preserve">includes servers, </w:t>
      </w:r>
      <w:r w:rsidR="006258BB">
        <w:rPr>
          <w:lang w:val="en-US"/>
        </w:rPr>
        <w:t xml:space="preserve">projectors, </w:t>
      </w:r>
      <w:r w:rsidR="0079400E">
        <w:rPr>
          <w:lang w:val="en-US"/>
        </w:rPr>
        <w:t>networks and the like.</w:t>
      </w:r>
      <w:r w:rsidR="0092064C">
        <w:rPr>
          <w:lang w:val="en-US"/>
        </w:rPr>
        <w:t xml:space="preserve"> </w:t>
      </w:r>
    </w:p>
    <w:p w14:paraId="72897440" w14:textId="784AFAF1" w:rsidR="005D1781" w:rsidRPr="009C04A4" w:rsidRDefault="00494C9B" w:rsidP="009B77F6">
      <w:pPr>
        <w:spacing w:before="100" w:beforeAutospacing="1" w:after="100" w:afterAutospacing="1" w:line="240" w:lineRule="auto"/>
        <w:ind w:left="5"/>
        <w:jc w:val="both"/>
        <w:rPr>
          <w:lang w:val="en-US"/>
        </w:rPr>
      </w:pPr>
      <w:r>
        <w:rPr>
          <w:lang w:val="en-US"/>
        </w:rPr>
        <w:t>All equipment</w:t>
      </w:r>
      <w:r w:rsidR="002D5BFD" w:rsidRPr="009C04A4">
        <w:rPr>
          <w:lang w:val="en-US"/>
        </w:rPr>
        <w:t xml:space="preserve"> </w:t>
      </w:r>
      <w:r w:rsidR="0079400E">
        <w:rPr>
          <w:lang w:val="en-US"/>
        </w:rPr>
        <w:t xml:space="preserve">purchased by the project </w:t>
      </w:r>
      <w:r w:rsidR="002D5BFD" w:rsidRPr="009C04A4">
        <w:rPr>
          <w:lang w:val="en-US"/>
        </w:rPr>
        <w:t xml:space="preserve">will be </w:t>
      </w:r>
      <w:r w:rsidR="005A7B51">
        <w:rPr>
          <w:lang w:val="en-US"/>
        </w:rPr>
        <w:t xml:space="preserve">provided to </w:t>
      </w:r>
      <w:r w:rsidR="0079400E">
        <w:rPr>
          <w:lang w:val="en-US"/>
        </w:rPr>
        <w:t>the</w:t>
      </w:r>
      <w:r w:rsidR="005A7B51">
        <w:rPr>
          <w:lang w:val="en-US"/>
        </w:rPr>
        <w:t xml:space="preserve"> stakeholders with the demonstrated need for computers and other equipment for </w:t>
      </w:r>
      <w:r w:rsidR="002D5BFD" w:rsidRPr="009C04A4">
        <w:rPr>
          <w:lang w:val="en-US"/>
        </w:rPr>
        <w:t>analysis</w:t>
      </w:r>
      <w:r w:rsidR="005A7B51">
        <w:rPr>
          <w:lang w:val="en-US"/>
        </w:rPr>
        <w:t xml:space="preserve">. These needs will be identified my means of the </w:t>
      </w:r>
      <w:r w:rsidR="002D5BFD" w:rsidRPr="009C04A4">
        <w:rPr>
          <w:lang w:val="en-US"/>
        </w:rPr>
        <w:t xml:space="preserve">situation analysis </w:t>
      </w:r>
      <w:r w:rsidR="005A7B51">
        <w:rPr>
          <w:lang w:val="en-US"/>
        </w:rPr>
        <w:t>conducted at the beginning</w:t>
      </w:r>
      <w:r w:rsidR="002D5BFD" w:rsidRPr="009C04A4">
        <w:rPr>
          <w:lang w:val="en-US"/>
        </w:rPr>
        <w:t xml:space="preserve"> of </w:t>
      </w:r>
      <w:r w:rsidR="005A7B51">
        <w:rPr>
          <w:lang w:val="en-US"/>
        </w:rPr>
        <w:t xml:space="preserve">the </w:t>
      </w:r>
      <w:r w:rsidR="002D5BFD" w:rsidRPr="009C04A4">
        <w:rPr>
          <w:lang w:val="en-US"/>
        </w:rPr>
        <w:t>project.</w:t>
      </w:r>
      <w:r w:rsidR="0092064C">
        <w:rPr>
          <w:lang w:val="en-US"/>
        </w:rPr>
        <w:t xml:space="preserve"> The </w:t>
      </w:r>
      <w:r w:rsidR="002149D8">
        <w:rPr>
          <w:lang w:val="en-US"/>
        </w:rPr>
        <w:t xml:space="preserve">detailed cost breakdown for </w:t>
      </w:r>
      <w:r w:rsidR="0092064C">
        <w:rPr>
          <w:lang w:val="en-US"/>
        </w:rPr>
        <w:t>the c</w:t>
      </w:r>
      <w:r w:rsidR="005D1781">
        <w:rPr>
          <w:lang w:val="en-US"/>
        </w:rPr>
        <w:t>omputer equipment for OB</w:t>
      </w:r>
      <w:r w:rsidR="002149D8">
        <w:rPr>
          <w:lang w:val="en-US"/>
        </w:rPr>
        <w:t>SICA and national institutions</w:t>
      </w:r>
      <w:r w:rsidR="005D1781">
        <w:rPr>
          <w:lang w:val="en-US"/>
        </w:rPr>
        <w:t xml:space="preserve"> </w:t>
      </w:r>
      <w:r w:rsidR="002149D8">
        <w:rPr>
          <w:lang w:val="en-US"/>
        </w:rPr>
        <w:t xml:space="preserve">is given </w:t>
      </w:r>
      <w:r w:rsidR="005D1781">
        <w:rPr>
          <w:lang w:val="en-US"/>
        </w:rPr>
        <w:t xml:space="preserve">on p </w:t>
      </w:r>
      <w:r w:rsidR="002149D8">
        <w:rPr>
          <w:lang w:val="en-US"/>
        </w:rPr>
        <w:t xml:space="preserve">8-9 </w:t>
      </w:r>
      <w:r w:rsidR="005D1781">
        <w:rPr>
          <w:lang w:val="en-US"/>
        </w:rPr>
        <w:t xml:space="preserve">of </w:t>
      </w:r>
      <w:r w:rsidR="002149D8">
        <w:rPr>
          <w:lang w:val="en-US"/>
        </w:rPr>
        <w:t xml:space="preserve">the Budget Narrative. </w:t>
      </w:r>
    </w:p>
    <w:p w14:paraId="1E3DA008" w14:textId="334E1B39" w:rsidR="002D5BFD" w:rsidRDefault="005D1781" w:rsidP="009B77F6">
      <w:pPr>
        <w:spacing w:before="100" w:beforeAutospacing="1" w:after="100" w:afterAutospacing="1" w:line="240" w:lineRule="auto"/>
        <w:jc w:val="both"/>
        <w:rPr>
          <w:lang w:val="en-US"/>
        </w:rPr>
      </w:pPr>
      <w:r>
        <w:rPr>
          <w:lang w:val="en-US"/>
        </w:rPr>
        <w:t xml:space="preserve">In line with the UNDP policy on </w:t>
      </w:r>
      <w:r w:rsidRPr="009C04A4">
        <w:rPr>
          <w:lang w:val="en-US"/>
        </w:rPr>
        <w:t>ensuring national ownership of project results and assets</w:t>
      </w:r>
      <w:r>
        <w:rPr>
          <w:lang w:val="en-US"/>
        </w:rPr>
        <w:t xml:space="preserve">, </w:t>
      </w:r>
      <w:r w:rsidR="00494C9B">
        <w:rPr>
          <w:lang w:val="en-US"/>
        </w:rPr>
        <w:t xml:space="preserve">at the end of the project </w:t>
      </w:r>
      <w:r w:rsidR="002D5BFD" w:rsidRPr="009C04A4">
        <w:rPr>
          <w:lang w:val="en-US"/>
        </w:rPr>
        <w:t xml:space="preserve">all </w:t>
      </w:r>
      <w:r w:rsidR="00494C9B">
        <w:rPr>
          <w:lang w:val="en-US"/>
        </w:rPr>
        <w:t xml:space="preserve">the purchased </w:t>
      </w:r>
      <w:r w:rsidR="002D5BFD" w:rsidRPr="009C04A4">
        <w:rPr>
          <w:lang w:val="en-US"/>
        </w:rPr>
        <w:t>equipment will be transferred to OBSICA</w:t>
      </w:r>
      <w:r w:rsidR="00DA0E23">
        <w:rPr>
          <w:lang w:val="en-US"/>
        </w:rPr>
        <w:t xml:space="preserve"> and national counterparts as appropriate</w:t>
      </w:r>
      <w:r w:rsidR="002D5BFD" w:rsidRPr="009C04A4">
        <w:rPr>
          <w:lang w:val="en-US"/>
        </w:rPr>
        <w:t>.</w:t>
      </w:r>
    </w:p>
    <w:p w14:paraId="703AC131" w14:textId="77777777" w:rsidR="00DA0E23" w:rsidRDefault="00DA0E23" w:rsidP="009B77F6">
      <w:pPr>
        <w:pStyle w:val="Caption"/>
        <w:spacing w:before="100" w:beforeAutospacing="1" w:after="100" w:afterAutospacing="1"/>
        <w:jc w:val="both"/>
        <w:rPr>
          <w:lang w:val="en-US"/>
        </w:rPr>
      </w:pPr>
    </w:p>
    <w:p w14:paraId="19126891" w14:textId="77777777" w:rsidR="00DA0E23" w:rsidRDefault="00DA0E23" w:rsidP="009B77F6">
      <w:pPr>
        <w:pStyle w:val="Caption"/>
        <w:spacing w:before="100" w:beforeAutospacing="1" w:after="100" w:afterAutospacing="1"/>
        <w:jc w:val="both"/>
        <w:rPr>
          <w:lang w:val="en-US"/>
        </w:rPr>
      </w:pPr>
    </w:p>
    <w:p w14:paraId="5573C46F" w14:textId="0FB0331C" w:rsidR="00C503CF" w:rsidRDefault="00C503CF" w:rsidP="009B77F6">
      <w:pPr>
        <w:pStyle w:val="Caption"/>
        <w:spacing w:before="100" w:beforeAutospacing="1" w:after="100" w:afterAutospacing="1"/>
        <w:jc w:val="both"/>
        <w:rPr>
          <w:lang w:val="en-US"/>
        </w:rPr>
      </w:pPr>
      <w:r>
        <w:rPr>
          <w:lang w:val="en-US"/>
        </w:rPr>
        <w:lastRenderedPageBreak/>
        <w:t xml:space="preserve">Table IV. </w:t>
      </w:r>
      <w:proofErr w:type="gramStart"/>
      <w:r w:rsidR="00BC79D8">
        <w:rPr>
          <w:lang w:val="en-US"/>
        </w:rPr>
        <w:t xml:space="preserve">Breakdown of </w:t>
      </w:r>
      <w:r w:rsidR="004E43C3">
        <w:rPr>
          <w:lang w:val="en-US"/>
        </w:rPr>
        <w:t>Equipment (</w:t>
      </w:r>
      <w:r>
        <w:rPr>
          <w:lang w:val="en-US"/>
        </w:rPr>
        <w:t>Laptop</w:t>
      </w:r>
      <w:r w:rsidR="004E43C3">
        <w:rPr>
          <w:lang w:val="en-US"/>
        </w:rPr>
        <w:t>s)</w:t>
      </w:r>
      <w:r w:rsidR="00BC79D8">
        <w:rPr>
          <w:lang w:val="en-US"/>
        </w:rPr>
        <w:t>.</w:t>
      </w:r>
      <w:proofErr w:type="gramEnd"/>
    </w:p>
    <w:tbl>
      <w:tblPr>
        <w:tblStyle w:val="MediumGrid3-Accent1"/>
        <w:tblW w:w="0" w:type="auto"/>
        <w:tblInd w:w="0" w:type="dxa"/>
        <w:tblLook w:val="04A0" w:firstRow="1" w:lastRow="0" w:firstColumn="1" w:lastColumn="0" w:noHBand="0" w:noVBand="1"/>
      </w:tblPr>
      <w:tblGrid>
        <w:gridCol w:w="4067"/>
        <w:gridCol w:w="732"/>
        <w:gridCol w:w="2137"/>
        <w:gridCol w:w="1536"/>
      </w:tblGrid>
      <w:tr w:rsidR="00C503CF" w14:paraId="51F54908" w14:textId="77777777" w:rsidTr="00C503C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67" w:type="dxa"/>
            <w:noWrap/>
            <w:hideMark/>
          </w:tcPr>
          <w:p w14:paraId="5543C3DE" w14:textId="77777777" w:rsidR="00C503CF" w:rsidRDefault="00C503CF" w:rsidP="009B77F6">
            <w:pPr>
              <w:spacing w:before="100" w:beforeAutospacing="1" w:after="100" w:afterAutospacing="1"/>
              <w:jc w:val="center"/>
              <w:rPr>
                <w:lang w:val="en-US"/>
              </w:rPr>
            </w:pPr>
            <w:r>
              <w:rPr>
                <w:lang w:val="en-US"/>
              </w:rPr>
              <w:t>Budgeted Equipment</w:t>
            </w:r>
          </w:p>
        </w:tc>
        <w:tc>
          <w:tcPr>
            <w:tcW w:w="732" w:type="dxa"/>
            <w:noWrap/>
            <w:hideMark/>
          </w:tcPr>
          <w:p w14:paraId="23BE0AEB"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Unit Cost</w:t>
            </w:r>
          </w:p>
        </w:tc>
        <w:tc>
          <w:tcPr>
            <w:tcW w:w="2137" w:type="dxa"/>
            <w:noWrap/>
            <w:hideMark/>
          </w:tcPr>
          <w:p w14:paraId="4CB5A918"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Estimated Units</w:t>
            </w:r>
          </w:p>
        </w:tc>
        <w:tc>
          <w:tcPr>
            <w:tcW w:w="1536" w:type="dxa"/>
            <w:noWrap/>
            <w:hideMark/>
          </w:tcPr>
          <w:p w14:paraId="7024E1BF" w14:textId="77777777" w:rsidR="00C503CF" w:rsidRDefault="00C503CF" w:rsidP="009B77F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C503CF" w14:paraId="7025E8D3" w14:textId="77777777" w:rsidTr="00C503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67" w:type="dxa"/>
            <w:tcBorders>
              <w:bottom w:val="nil"/>
            </w:tcBorders>
            <w:noWrap/>
            <w:hideMark/>
          </w:tcPr>
          <w:p w14:paraId="49FFA06E" w14:textId="2F28861D" w:rsidR="00C503CF" w:rsidRDefault="00BC79D8" w:rsidP="009B77F6">
            <w:pPr>
              <w:spacing w:before="100" w:beforeAutospacing="1" w:after="100" w:afterAutospacing="1"/>
              <w:jc w:val="center"/>
              <w:rPr>
                <w:lang w:val="en-US"/>
              </w:rPr>
            </w:pPr>
            <w:r>
              <w:rPr>
                <w:lang w:val="en-US"/>
              </w:rPr>
              <w:t>Computers</w:t>
            </w:r>
            <w:r>
              <w:rPr>
                <w:lang w:val="en-US"/>
              </w:rPr>
              <w:t xml:space="preserve">  </w:t>
            </w:r>
            <w:r w:rsidR="00C503CF">
              <w:rPr>
                <w:lang w:val="en-US"/>
              </w:rPr>
              <w:t>for Regional Coordination Unit</w:t>
            </w:r>
          </w:p>
        </w:tc>
        <w:tc>
          <w:tcPr>
            <w:tcW w:w="732" w:type="dxa"/>
            <w:noWrap/>
            <w:hideMark/>
          </w:tcPr>
          <w:p w14:paraId="6EBA84B5" w14:textId="77777777" w:rsidR="00C503CF" w:rsidRDefault="00C503CF" w:rsidP="009B77F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val="en-US"/>
              </w:rPr>
            </w:pPr>
            <w:r>
              <w:rPr>
                <w:lang w:val="en-US"/>
              </w:rPr>
              <w:t>2,000</w:t>
            </w:r>
          </w:p>
        </w:tc>
        <w:tc>
          <w:tcPr>
            <w:tcW w:w="2137" w:type="dxa"/>
            <w:noWrap/>
            <w:hideMark/>
          </w:tcPr>
          <w:p w14:paraId="0482116A" w14:textId="77777777" w:rsidR="00C503CF"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w:t>
            </w:r>
          </w:p>
        </w:tc>
        <w:tc>
          <w:tcPr>
            <w:tcW w:w="1536" w:type="dxa"/>
            <w:noWrap/>
            <w:hideMark/>
          </w:tcPr>
          <w:p w14:paraId="0CE2B427" w14:textId="77777777" w:rsidR="00C503CF"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8,000</w:t>
            </w:r>
          </w:p>
        </w:tc>
      </w:tr>
      <w:tr w:rsidR="00C503CF" w14:paraId="08D6EE5F" w14:textId="77777777" w:rsidTr="00C503CF">
        <w:trPr>
          <w:trHeight w:val="255"/>
        </w:trPr>
        <w:tc>
          <w:tcPr>
            <w:cnfStyle w:val="001000000000" w:firstRow="0" w:lastRow="0" w:firstColumn="1" w:lastColumn="0" w:oddVBand="0" w:evenVBand="0" w:oddHBand="0" w:evenHBand="0" w:firstRowFirstColumn="0" w:firstRowLastColumn="0" w:lastRowFirstColumn="0" w:lastRowLastColumn="0"/>
            <w:tcW w:w="4067" w:type="dxa"/>
            <w:tcBorders>
              <w:top w:val="single" w:sz="6" w:space="0" w:color="FFFFFF" w:themeColor="background1"/>
              <w:bottom w:val="nil"/>
            </w:tcBorders>
            <w:noWrap/>
            <w:hideMark/>
          </w:tcPr>
          <w:p w14:paraId="7961CA61" w14:textId="75A57D5B" w:rsidR="00C503CF" w:rsidRDefault="00BC79D8" w:rsidP="009B77F6">
            <w:pPr>
              <w:spacing w:before="100" w:beforeAutospacing="1" w:after="100" w:afterAutospacing="1"/>
              <w:jc w:val="center"/>
              <w:rPr>
                <w:lang w:val="en-US"/>
              </w:rPr>
            </w:pPr>
            <w:r>
              <w:rPr>
                <w:lang w:val="en-US"/>
              </w:rPr>
              <w:t>Computers</w:t>
            </w:r>
            <w:r>
              <w:rPr>
                <w:lang w:val="en-US"/>
              </w:rPr>
              <w:t xml:space="preserve">  </w:t>
            </w:r>
            <w:r>
              <w:rPr>
                <w:lang w:val="en-US"/>
              </w:rPr>
              <w:t xml:space="preserve">for </w:t>
            </w:r>
            <w:r w:rsidR="00C503CF">
              <w:rPr>
                <w:lang w:val="en-US"/>
              </w:rPr>
              <w:t>OBSICA Analysts</w:t>
            </w:r>
          </w:p>
        </w:tc>
        <w:tc>
          <w:tcPr>
            <w:tcW w:w="7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14:paraId="379DE273" w14:textId="77777777" w:rsidR="00C503CF" w:rsidRDefault="00C503CF" w:rsidP="009B77F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2,000</w:t>
            </w:r>
          </w:p>
        </w:tc>
        <w:tc>
          <w:tcPr>
            <w:tcW w:w="21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14:paraId="3F052F51" w14:textId="77777777" w:rsidR="00C503CF" w:rsidRDefault="00C503CF" w:rsidP="009B77F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536"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noWrap/>
            <w:hideMark/>
          </w:tcPr>
          <w:p w14:paraId="44F51296" w14:textId="77777777" w:rsidR="00C503CF" w:rsidRDefault="00C503CF" w:rsidP="009B77F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4,000</w:t>
            </w:r>
          </w:p>
        </w:tc>
      </w:tr>
      <w:tr w:rsidR="00C503CF" w14:paraId="0FD023AD" w14:textId="77777777" w:rsidTr="00C503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67" w:type="dxa"/>
            <w:tcBorders>
              <w:bottom w:val="nil"/>
            </w:tcBorders>
            <w:noWrap/>
            <w:hideMark/>
          </w:tcPr>
          <w:p w14:paraId="388358E0" w14:textId="68C6F122" w:rsidR="00C503CF" w:rsidRDefault="00BC79D8" w:rsidP="009B77F6">
            <w:pPr>
              <w:spacing w:before="100" w:beforeAutospacing="1" w:after="100" w:afterAutospacing="1"/>
              <w:jc w:val="center"/>
              <w:rPr>
                <w:lang w:val="en-US"/>
              </w:rPr>
            </w:pPr>
            <w:r>
              <w:rPr>
                <w:lang w:val="en-US"/>
              </w:rPr>
              <w:t>Computers</w:t>
            </w:r>
            <w:r>
              <w:rPr>
                <w:lang w:val="en-US"/>
              </w:rPr>
              <w:t xml:space="preserve">  </w:t>
            </w:r>
            <w:r>
              <w:rPr>
                <w:lang w:val="en-US"/>
              </w:rPr>
              <w:t xml:space="preserve">for </w:t>
            </w:r>
            <w:r w:rsidR="00C503CF">
              <w:rPr>
                <w:lang w:val="en-US"/>
              </w:rPr>
              <w:t>STU Support Units</w:t>
            </w:r>
          </w:p>
        </w:tc>
        <w:tc>
          <w:tcPr>
            <w:tcW w:w="732" w:type="dxa"/>
            <w:noWrap/>
            <w:hideMark/>
          </w:tcPr>
          <w:p w14:paraId="21F56337" w14:textId="77777777" w:rsidR="00C503CF"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2,000</w:t>
            </w:r>
          </w:p>
        </w:tc>
        <w:tc>
          <w:tcPr>
            <w:tcW w:w="2137" w:type="dxa"/>
            <w:noWrap/>
            <w:hideMark/>
          </w:tcPr>
          <w:p w14:paraId="5DEC06A7" w14:textId="77777777" w:rsidR="00C503CF"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12</w:t>
            </w:r>
          </w:p>
        </w:tc>
        <w:tc>
          <w:tcPr>
            <w:tcW w:w="1536" w:type="dxa"/>
            <w:noWrap/>
            <w:hideMark/>
          </w:tcPr>
          <w:p w14:paraId="42C80E0F" w14:textId="77777777" w:rsidR="00C503CF"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24,000</w:t>
            </w:r>
          </w:p>
        </w:tc>
      </w:tr>
      <w:tr w:rsidR="00C503CF" w:rsidRPr="00BC79D8" w14:paraId="7C339203" w14:textId="77777777" w:rsidTr="00C503CF">
        <w:trPr>
          <w:trHeight w:val="255"/>
        </w:trPr>
        <w:tc>
          <w:tcPr>
            <w:cnfStyle w:val="001000000000" w:firstRow="0" w:lastRow="0" w:firstColumn="1" w:lastColumn="0" w:oddVBand="0" w:evenVBand="0" w:oddHBand="0" w:evenHBand="0" w:firstRowFirstColumn="0" w:firstRowLastColumn="0" w:lastRowFirstColumn="0" w:lastRowLastColumn="0"/>
            <w:tcW w:w="4067" w:type="dxa"/>
            <w:tcBorders>
              <w:top w:val="single" w:sz="6" w:space="0" w:color="FFFFFF" w:themeColor="background1"/>
              <w:bottom w:val="nil"/>
            </w:tcBorders>
            <w:noWrap/>
            <w:hideMark/>
          </w:tcPr>
          <w:p w14:paraId="3EF56F9A" w14:textId="1D1C7654" w:rsidR="00C503CF" w:rsidRDefault="00BC79D8" w:rsidP="00BC79D8">
            <w:pPr>
              <w:spacing w:before="100" w:beforeAutospacing="1" w:after="100" w:afterAutospacing="1"/>
              <w:jc w:val="center"/>
              <w:rPr>
                <w:lang w:val="en-US"/>
              </w:rPr>
            </w:pPr>
            <w:r>
              <w:rPr>
                <w:lang w:val="en-US"/>
              </w:rPr>
              <w:t>Computers for</w:t>
            </w:r>
            <w:r w:rsidR="00C503CF">
              <w:rPr>
                <w:lang w:val="en-US"/>
              </w:rPr>
              <w:t xml:space="preserve"> </w:t>
            </w:r>
            <w:r>
              <w:rPr>
                <w:lang w:val="en-US"/>
              </w:rPr>
              <w:t xml:space="preserve">institutions (Govt. </w:t>
            </w:r>
            <w:r w:rsidR="00C503CF">
              <w:rPr>
                <w:lang w:val="en-US"/>
              </w:rPr>
              <w:t xml:space="preserve"> and civil society organizations</w:t>
            </w:r>
            <w:r>
              <w:rPr>
                <w:lang w:val="en-US"/>
              </w:rPr>
              <w:t xml:space="preserve">) who are </w:t>
            </w:r>
            <w:r w:rsidR="00C503CF">
              <w:rPr>
                <w:lang w:val="en-US"/>
              </w:rPr>
              <w:t>part of STU</w:t>
            </w:r>
          </w:p>
        </w:tc>
        <w:tc>
          <w:tcPr>
            <w:tcW w:w="7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14:paraId="68C732EC" w14:textId="77777777" w:rsidR="00C503CF" w:rsidRDefault="00C503CF" w:rsidP="009B77F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2,000</w:t>
            </w:r>
          </w:p>
        </w:tc>
        <w:tc>
          <w:tcPr>
            <w:tcW w:w="21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14:paraId="3CF9689E" w14:textId="77777777" w:rsidR="00C503CF" w:rsidRDefault="00C503CF" w:rsidP="009B77F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536"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noWrap/>
            <w:hideMark/>
          </w:tcPr>
          <w:p w14:paraId="472F49EB" w14:textId="77777777" w:rsidR="00C503CF" w:rsidRDefault="00C503CF" w:rsidP="009B77F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128,000</w:t>
            </w:r>
          </w:p>
        </w:tc>
      </w:tr>
      <w:tr w:rsidR="00C503CF" w:rsidRPr="00BC79D8" w14:paraId="22FF620E" w14:textId="77777777" w:rsidTr="00C503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99" w:type="dxa"/>
            <w:gridSpan w:val="2"/>
            <w:noWrap/>
            <w:hideMark/>
          </w:tcPr>
          <w:p w14:paraId="61756E88" w14:textId="77777777" w:rsidR="00C503CF" w:rsidRDefault="00C503CF" w:rsidP="009B77F6">
            <w:pPr>
              <w:spacing w:before="100" w:beforeAutospacing="1" w:after="100" w:afterAutospacing="1"/>
              <w:jc w:val="center"/>
              <w:rPr>
                <w:lang w:val="en-US"/>
              </w:rPr>
            </w:pPr>
            <w:r>
              <w:rPr>
                <w:lang w:val="en-US"/>
              </w:rPr>
              <w:t>TOTAL</w:t>
            </w:r>
          </w:p>
        </w:tc>
        <w:tc>
          <w:tcPr>
            <w:tcW w:w="2137" w:type="dxa"/>
            <w:noWrap/>
            <w:hideMark/>
          </w:tcPr>
          <w:p w14:paraId="711E318B" w14:textId="77777777" w:rsidR="00C503CF"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82</w:t>
            </w:r>
          </w:p>
        </w:tc>
        <w:tc>
          <w:tcPr>
            <w:tcW w:w="1536" w:type="dxa"/>
            <w:noWrap/>
            <w:hideMark/>
          </w:tcPr>
          <w:p w14:paraId="2E5F8F0B" w14:textId="77777777" w:rsidR="00C503CF" w:rsidRPr="00DC1C0A" w:rsidRDefault="00C503CF" w:rsidP="009B77F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val="en-US"/>
              </w:rPr>
            </w:pPr>
            <w:r w:rsidRPr="00DC1C0A">
              <w:rPr>
                <w:b/>
                <w:lang w:val="en-US"/>
              </w:rPr>
              <w:t>164,000</w:t>
            </w:r>
          </w:p>
        </w:tc>
      </w:tr>
    </w:tbl>
    <w:p w14:paraId="52A49A75" w14:textId="7EC603EE" w:rsidR="0067485B" w:rsidRDefault="00EA164B" w:rsidP="009B77F6">
      <w:pPr>
        <w:pStyle w:val="ListParagraph"/>
        <w:numPr>
          <w:ilvl w:val="0"/>
          <w:numId w:val="3"/>
        </w:numPr>
        <w:spacing w:before="100" w:beforeAutospacing="1" w:after="100" w:afterAutospacing="1" w:line="240" w:lineRule="auto"/>
        <w:ind w:left="284" w:hanging="279"/>
        <w:contextualSpacing w:val="0"/>
        <w:jc w:val="both"/>
        <w:rPr>
          <w:color w:val="1F497D" w:themeColor="text2"/>
          <w:lang w:val="en-US"/>
        </w:rPr>
      </w:pPr>
      <w:r w:rsidRPr="00A950A1">
        <w:rPr>
          <w:color w:val="1F497D" w:themeColor="text2"/>
          <w:lang w:val="en-US"/>
        </w:rPr>
        <w:t>The technological support for a web</w:t>
      </w:r>
      <w:r w:rsidR="00E52353" w:rsidRPr="00A950A1">
        <w:rPr>
          <w:color w:val="1F497D" w:themeColor="text2"/>
          <w:lang w:val="en-US"/>
        </w:rPr>
        <w:t>-</w:t>
      </w:r>
      <w:r w:rsidRPr="00A950A1">
        <w:rPr>
          <w:color w:val="1F497D" w:themeColor="text2"/>
          <w:lang w:val="en-US"/>
        </w:rPr>
        <w:t>based platform for knowledge sharing for OBSICA and for</w:t>
      </w:r>
      <w:r w:rsidRPr="000D701A">
        <w:rPr>
          <w:color w:val="1F497D" w:themeColor="text2"/>
          <w:lang w:val="en-US"/>
        </w:rPr>
        <w:t xml:space="preserve"> the ROCs is unclear?</w:t>
      </w:r>
    </w:p>
    <w:p w14:paraId="38302A47" w14:textId="612E68A4" w:rsidR="006258BB" w:rsidRDefault="006258BB" w:rsidP="009B77F6">
      <w:pPr>
        <w:pStyle w:val="ListParagraph"/>
        <w:spacing w:before="100" w:beforeAutospacing="1" w:after="100" w:afterAutospacing="1" w:line="240" w:lineRule="auto"/>
        <w:ind w:left="284"/>
        <w:contextualSpacing w:val="0"/>
        <w:jc w:val="both"/>
        <w:rPr>
          <w:lang w:val="en-US"/>
        </w:rPr>
      </w:pPr>
      <w:r>
        <w:rPr>
          <w:lang w:val="en-US"/>
        </w:rPr>
        <w:t>As mentioned in question 6, the project propo</w:t>
      </w:r>
      <w:r w:rsidR="00052868">
        <w:rPr>
          <w:lang w:val="en-US"/>
        </w:rPr>
        <w:t xml:space="preserve">ses </w:t>
      </w:r>
      <w:r>
        <w:rPr>
          <w:lang w:val="en-US"/>
        </w:rPr>
        <w:t xml:space="preserve"> t</w:t>
      </w:r>
      <w:r w:rsidRPr="009C04A4">
        <w:rPr>
          <w:lang w:val="en-US"/>
        </w:rPr>
        <w:t xml:space="preserve">he development of </w:t>
      </w:r>
      <w:r>
        <w:rPr>
          <w:lang w:val="en-US"/>
        </w:rPr>
        <w:t>a</w:t>
      </w:r>
      <w:r w:rsidRPr="009C04A4">
        <w:rPr>
          <w:lang w:val="en-US"/>
        </w:rPr>
        <w:t xml:space="preserve"> WEB based platform </w:t>
      </w:r>
      <w:r>
        <w:rPr>
          <w:lang w:val="en-US"/>
        </w:rPr>
        <w:t xml:space="preserve">to disseminate the different </w:t>
      </w:r>
      <w:r w:rsidR="00052868">
        <w:rPr>
          <w:lang w:val="en-US"/>
        </w:rPr>
        <w:t xml:space="preserve">project </w:t>
      </w:r>
      <w:r>
        <w:rPr>
          <w:lang w:val="en-US"/>
        </w:rPr>
        <w:t xml:space="preserve">products and results, </w:t>
      </w:r>
      <w:r w:rsidR="00052868">
        <w:rPr>
          <w:lang w:val="en-US"/>
        </w:rPr>
        <w:t xml:space="preserve">in addition to operationalizing a </w:t>
      </w:r>
      <w:r>
        <w:rPr>
          <w:lang w:val="en-US"/>
        </w:rPr>
        <w:t xml:space="preserve">mechanism </w:t>
      </w:r>
      <w:r w:rsidR="00052868">
        <w:rPr>
          <w:lang w:val="en-US"/>
        </w:rPr>
        <w:t>for</w:t>
      </w:r>
      <w:r>
        <w:rPr>
          <w:lang w:val="en-US"/>
        </w:rPr>
        <w:t xml:space="preserve"> exchange and </w:t>
      </w:r>
      <w:r w:rsidR="00052868">
        <w:rPr>
          <w:lang w:val="en-US"/>
        </w:rPr>
        <w:t xml:space="preserve">information </w:t>
      </w:r>
      <w:r>
        <w:rPr>
          <w:lang w:val="en-US"/>
        </w:rPr>
        <w:t xml:space="preserve">compilation among the different </w:t>
      </w:r>
      <w:r w:rsidR="00052868">
        <w:rPr>
          <w:lang w:val="en-US"/>
        </w:rPr>
        <w:t xml:space="preserve">project </w:t>
      </w:r>
      <w:r>
        <w:rPr>
          <w:lang w:val="en-US"/>
        </w:rPr>
        <w:t xml:space="preserve">stakeholders </w:t>
      </w:r>
      <w:r w:rsidR="00052868">
        <w:rPr>
          <w:lang w:val="en-US"/>
        </w:rPr>
        <w:t>(</w:t>
      </w:r>
      <w:r>
        <w:rPr>
          <w:lang w:val="en-US"/>
        </w:rPr>
        <w:t>governmental and non-governmental). Th</w:t>
      </w:r>
      <w:r w:rsidR="00052868">
        <w:rPr>
          <w:lang w:val="en-US"/>
        </w:rPr>
        <w:t xml:space="preserve">e </w:t>
      </w:r>
      <w:r>
        <w:rPr>
          <w:lang w:val="en-US"/>
        </w:rPr>
        <w:t xml:space="preserve">WEB based platform will be </w:t>
      </w:r>
      <w:r w:rsidR="00052868">
        <w:rPr>
          <w:lang w:val="en-US"/>
        </w:rPr>
        <w:t xml:space="preserve">designed both to respond to a needs assessment and to harmonize technology and data input with OBSICA and beneficiary countries.  </w:t>
      </w:r>
    </w:p>
    <w:p w14:paraId="1352E1A5" w14:textId="4521DE00" w:rsidR="00955BD6" w:rsidRPr="009C04A4" w:rsidRDefault="00955BD6" w:rsidP="009B77F6">
      <w:pPr>
        <w:pStyle w:val="ListParagraph"/>
        <w:spacing w:before="100" w:beforeAutospacing="1" w:after="100" w:afterAutospacing="1" w:line="240" w:lineRule="auto"/>
        <w:ind w:left="284"/>
        <w:contextualSpacing w:val="0"/>
        <w:jc w:val="both"/>
        <w:rPr>
          <w:lang w:val="en-US"/>
        </w:rPr>
      </w:pPr>
      <w:r w:rsidRPr="009C04A4">
        <w:rPr>
          <w:lang w:val="en-US"/>
        </w:rPr>
        <w:t>The following are the proposed stages of platform development:</w:t>
      </w:r>
      <w:r w:rsidRPr="009C04A4">
        <w:rPr>
          <w:noProof/>
          <w:lang w:eastAsia="es-PA"/>
        </w:rPr>
        <w:drawing>
          <wp:inline distT="0" distB="0" distL="0" distR="0" wp14:anchorId="2AEFA472" wp14:editId="46846967">
            <wp:extent cx="5612130" cy="1760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1760102"/>
                    </a:xfrm>
                    <a:prstGeom prst="rect">
                      <a:avLst/>
                    </a:prstGeom>
                    <a:noFill/>
                  </pic:spPr>
                </pic:pic>
              </a:graphicData>
            </a:graphic>
          </wp:inline>
        </w:drawing>
      </w:r>
    </w:p>
    <w:p w14:paraId="6DA72CE3" w14:textId="3D598129" w:rsidR="00955BD6" w:rsidRDefault="00955BD6" w:rsidP="009B77F6">
      <w:pPr>
        <w:pStyle w:val="ListParagraph"/>
        <w:spacing w:before="100" w:beforeAutospacing="1" w:after="100" w:afterAutospacing="1" w:line="240" w:lineRule="auto"/>
        <w:ind w:left="284"/>
        <w:contextualSpacing w:val="0"/>
        <w:jc w:val="both"/>
        <w:rPr>
          <w:lang w:val="en-US"/>
        </w:rPr>
      </w:pPr>
      <w:r w:rsidRPr="009C04A4">
        <w:rPr>
          <w:lang w:val="en-US"/>
        </w:rPr>
        <w:t xml:space="preserve">The </w:t>
      </w:r>
      <w:r w:rsidR="006258BB">
        <w:rPr>
          <w:lang w:val="en-US"/>
        </w:rPr>
        <w:t>Integrated Web Platform</w:t>
      </w:r>
      <w:r w:rsidRPr="009C04A4">
        <w:rPr>
          <w:lang w:val="en-US"/>
        </w:rPr>
        <w:t xml:space="preserve"> delivery schedule will be defined as a result of Phase I – Scope Definition and Needs Assessment and presented to the UNDP as part of the Needs Assessment Evaluation Document.</w:t>
      </w:r>
    </w:p>
    <w:p w14:paraId="1CF40660" w14:textId="5D8AAD12" w:rsidR="00100ED2" w:rsidRDefault="00100ED2" w:rsidP="009B77F6">
      <w:pPr>
        <w:pStyle w:val="ListParagraph"/>
        <w:spacing w:before="100" w:beforeAutospacing="1" w:after="100" w:afterAutospacing="1" w:line="240" w:lineRule="auto"/>
        <w:ind w:left="284"/>
        <w:contextualSpacing w:val="0"/>
        <w:jc w:val="both"/>
        <w:rPr>
          <w:lang w:val="en-US"/>
        </w:rPr>
      </w:pPr>
      <w:r>
        <w:rPr>
          <w:lang w:val="en-US"/>
        </w:rPr>
        <w:t xml:space="preserve">The web will </w:t>
      </w:r>
      <w:r w:rsidR="00052868">
        <w:rPr>
          <w:lang w:val="en-US"/>
        </w:rPr>
        <w:t>disseminate</w:t>
      </w:r>
      <w:r>
        <w:rPr>
          <w:lang w:val="en-US"/>
        </w:rPr>
        <w:t xml:space="preserve"> different indicators of the project, the ones built from national STU´s institutions, digital forums for national statistical institutes, public ministries and other national sources, it will have online ROC bulletins, press releases and consultation material in Citizen Security,  such as project state of art publications, factsheets, reports, minutes of meetings, contact lists among others. </w:t>
      </w:r>
    </w:p>
    <w:p w14:paraId="27161349" w14:textId="58A562EC" w:rsidR="00100ED2" w:rsidRDefault="00100ED2" w:rsidP="009B77F6">
      <w:pPr>
        <w:pStyle w:val="ListParagraph"/>
        <w:spacing w:before="100" w:beforeAutospacing="1" w:after="100" w:afterAutospacing="1" w:line="240" w:lineRule="auto"/>
        <w:ind w:left="284"/>
        <w:contextualSpacing w:val="0"/>
        <w:jc w:val="both"/>
        <w:rPr>
          <w:lang w:val="en-US"/>
        </w:rPr>
      </w:pPr>
      <w:r>
        <w:rPr>
          <w:lang w:val="en-US"/>
        </w:rPr>
        <w:t xml:space="preserve"> This platform will also be an important linking point among OBSICA, STU´s and national institutions, as it will provide access to complete information of the selected indicators.</w:t>
      </w:r>
    </w:p>
    <w:p w14:paraId="369AAB5F" w14:textId="77777777" w:rsidR="00EA164B" w:rsidRPr="009C04A4" w:rsidRDefault="00EA164B" w:rsidP="009B77F6">
      <w:pPr>
        <w:pStyle w:val="ListParagraph"/>
        <w:numPr>
          <w:ilvl w:val="0"/>
          <w:numId w:val="3"/>
        </w:numPr>
        <w:spacing w:before="100" w:beforeAutospacing="1" w:after="100" w:afterAutospacing="1" w:line="240" w:lineRule="auto"/>
        <w:ind w:left="284" w:hanging="279"/>
        <w:contextualSpacing w:val="0"/>
        <w:jc w:val="both"/>
        <w:rPr>
          <w:color w:val="1F497D" w:themeColor="text2"/>
          <w:lang w:val="en-US"/>
        </w:rPr>
      </w:pPr>
      <w:r w:rsidRPr="009C04A4">
        <w:rPr>
          <w:color w:val="1F497D" w:themeColor="text2"/>
          <w:lang w:val="en-US"/>
        </w:rPr>
        <w:lastRenderedPageBreak/>
        <w:t>Administrative Cost Recovery: Does the UNDP have an approved document by the Delegated Cooperation Secretariat (DCS) for the Administrative Cost Recovery of 8%?</w:t>
      </w:r>
    </w:p>
    <w:p w14:paraId="3280407B" w14:textId="620430FC" w:rsidR="006A09E1" w:rsidRDefault="00304263" w:rsidP="009B77F6">
      <w:pPr>
        <w:spacing w:before="100" w:beforeAutospacing="1" w:after="100" w:afterAutospacing="1" w:line="240" w:lineRule="auto"/>
        <w:ind w:left="5"/>
        <w:jc w:val="both"/>
        <w:rPr>
          <w:lang w:val="en-US"/>
        </w:rPr>
      </w:pPr>
      <w:r>
        <w:rPr>
          <w:lang w:val="en-US"/>
        </w:rPr>
        <w:t>Administrative Cost Recovery</w:t>
      </w:r>
      <w:r w:rsidR="006A1215">
        <w:rPr>
          <w:lang w:val="en-US"/>
        </w:rPr>
        <w:t xml:space="preserve"> is</w:t>
      </w:r>
      <w:r>
        <w:rPr>
          <w:lang w:val="en-US"/>
        </w:rPr>
        <w:t xml:space="preserve"> the UNDP </w:t>
      </w:r>
      <w:r w:rsidR="00434E14">
        <w:rPr>
          <w:lang w:val="en-US"/>
        </w:rPr>
        <w:t>management fee</w:t>
      </w:r>
      <w:r w:rsidR="002356D7" w:rsidRPr="009C04A4">
        <w:rPr>
          <w:lang w:val="en-US"/>
        </w:rPr>
        <w:t xml:space="preserve"> designated to provide general management and implementation support services to</w:t>
      </w:r>
      <w:r w:rsidR="00434E14">
        <w:rPr>
          <w:lang w:val="en-US"/>
        </w:rPr>
        <w:t xml:space="preserve"> non-UNDP funded</w:t>
      </w:r>
      <w:r w:rsidR="002356D7" w:rsidRPr="009C04A4">
        <w:rPr>
          <w:lang w:val="en-US"/>
        </w:rPr>
        <w:t xml:space="preserve"> </w:t>
      </w:r>
      <w:proofErr w:type="spellStart"/>
      <w:r w:rsidR="002356D7" w:rsidRPr="009C04A4">
        <w:rPr>
          <w:lang w:val="en-US"/>
        </w:rPr>
        <w:t>programmes</w:t>
      </w:r>
      <w:proofErr w:type="spellEnd"/>
      <w:r w:rsidR="002356D7" w:rsidRPr="009C04A4">
        <w:rPr>
          <w:lang w:val="en-US"/>
        </w:rPr>
        <w:t xml:space="preserve">. </w:t>
      </w:r>
    </w:p>
    <w:p w14:paraId="657CAFA7" w14:textId="5ACF6B96" w:rsidR="001F7DDF" w:rsidRDefault="006A09E1" w:rsidP="009B77F6">
      <w:pPr>
        <w:spacing w:before="100" w:beforeAutospacing="1" w:after="100" w:afterAutospacing="1" w:line="240" w:lineRule="auto"/>
        <w:ind w:left="5"/>
        <w:jc w:val="both"/>
        <w:rPr>
          <w:lang w:val="en-US"/>
        </w:rPr>
      </w:pPr>
      <w:r w:rsidRPr="006A09E1">
        <w:rPr>
          <w:lang w:val="en-US"/>
        </w:rPr>
        <w:t>We attach the approved document for the Administrative Cost Recovery of 8%, dul</w:t>
      </w:r>
      <w:r>
        <w:rPr>
          <w:lang w:val="en-US"/>
        </w:rPr>
        <w:t>y signed by our Executive Board</w:t>
      </w:r>
      <w:r w:rsidR="00BF6DC3">
        <w:rPr>
          <w:lang w:val="en-US"/>
        </w:rPr>
        <w:t>. T</w:t>
      </w:r>
      <w:r w:rsidR="002356D7" w:rsidRPr="009C04A4">
        <w:rPr>
          <w:lang w:val="en-US"/>
        </w:rPr>
        <w:t>h</w:t>
      </w:r>
      <w:r w:rsidR="00EA12DA">
        <w:rPr>
          <w:lang w:val="en-US"/>
        </w:rPr>
        <w:t>is policy</w:t>
      </w:r>
      <w:r w:rsidR="002356D7" w:rsidRPr="009C04A4">
        <w:rPr>
          <w:lang w:val="en-US"/>
        </w:rPr>
        <w:t xml:space="preserve"> </w:t>
      </w:r>
      <w:r w:rsidR="00EA12DA">
        <w:rPr>
          <w:lang w:val="en-US"/>
        </w:rPr>
        <w:t xml:space="preserve">has been </w:t>
      </w:r>
      <w:r w:rsidR="002356D7" w:rsidRPr="009C04A4">
        <w:rPr>
          <w:lang w:val="en-US"/>
        </w:rPr>
        <w:t xml:space="preserve">endorsed by </w:t>
      </w:r>
      <w:r w:rsidR="00614097">
        <w:rPr>
          <w:lang w:val="en-US"/>
        </w:rPr>
        <w:t xml:space="preserve">the </w:t>
      </w:r>
      <w:r w:rsidR="00614097" w:rsidRPr="009C04A4">
        <w:rPr>
          <w:lang w:val="en-US"/>
        </w:rPr>
        <w:t>Decision 2004/30 and Decision 2007/18</w:t>
      </w:r>
      <w:r w:rsidR="001F7DDF">
        <w:rPr>
          <w:lang w:val="en-US"/>
        </w:rPr>
        <w:t xml:space="preserve"> of </w:t>
      </w:r>
      <w:r w:rsidR="002356D7" w:rsidRPr="009C04A4">
        <w:rPr>
          <w:lang w:val="en-US"/>
        </w:rPr>
        <w:t xml:space="preserve">UNDP’s Executive Board </w:t>
      </w:r>
      <w:r w:rsidR="00EA12DA">
        <w:rPr>
          <w:lang w:val="en-US"/>
        </w:rPr>
        <w:t>of which the U.S. is a member</w:t>
      </w:r>
      <w:r w:rsidR="001F7DDF">
        <w:rPr>
          <w:lang w:val="en-US"/>
        </w:rPr>
        <w:t>.</w:t>
      </w:r>
    </w:p>
    <w:p w14:paraId="0BFB2E35" w14:textId="5B9C4ABF" w:rsidR="005D7CD0" w:rsidRPr="009C04A4" w:rsidRDefault="005E039F" w:rsidP="009B77F6">
      <w:pPr>
        <w:spacing w:before="100" w:beforeAutospacing="1" w:after="100" w:afterAutospacing="1" w:line="240" w:lineRule="auto"/>
        <w:ind w:left="5"/>
        <w:jc w:val="both"/>
        <w:rPr>
          <w:lang w:val="en-GB"/>
        </w:rPr>
      </w:pPr>
      <w:r w:rsidRPr="00246F93">
        <w:rPr>
          <w:lang w:val="en-US"/>
        </w:rPr>
        <w:t>In its first regular session of 2014, t</w:t>
      </w:r>
      <w:r w:rsidR="006258BB" w:rsidRPr="00246F93">
        <w:rPr>
          <w:lang w:val="en-US"/>
        </w:rPr>
        <w:t xml:space="preserve">he </w:t>
      </w:r>
      <w:r w:rsidRPr="00246F93">
        <w:rPr>
          <w:lang w:val="en-US"/>
        </w:rPr>
        <w:t xml:space="preserve">UNDP </w:t>
      </w:r>
      <w:r w:rsidR="006258BB" w:rsidRPr="00246F93">
        <w:rPr>
          <w:lang w:val="en-US"/>
        </w:rPr>
        <w:t xml:space="preserve">Executive Board, </w:t>
      </w:r>
      <w:r w:rsidRPr="00246F93">
        <w:rPr>
          <w:lang w:val="en-US"/>
        </w:rPr>
        <w:t>of</w:t>
      </w:r>
      <w:r w:rsidR="006258BB" w:rsidRPr="00246F93">
        <w:rPr>
          <w:lang w:val="en-US"/>
        </w:rPr>
        <w:t xml:space="preserve"> which the US Government is a member, </w:t>
      </w:r>
      <w:r w:rsidR="00492C05" w:rsidRPr="00246F93">
        <w:rPr>
          <w:lang w:val="en-US"/>
        </w:rPr>
        <w:t>approved a new policy regarding Administrative Cost Recovery (the UNDP equivalent of the USAID Overhead). According to “Decisions adopted by the Executive</w:t>
      </w:r>
      <w:r w:rsidR="00492C05" w:rsidRPr="009C04A4">
        <w:rPr>
          <w:lang w:val="en-US"/>
        </w:rPr>
        <w:t xml:space="preserve"> Board at its first regular session 2013-DP/2013/10”</w:t>
      </w:r>
      <w:r>
        <w:rPr>
          <w:lang w:val="en-US"/>
        </w:rPr>
        <w:t xml:space="preserve"> </w:t>
      </w:r>
      <w:r w:rsidR="00492C05">
        <w:rPr>
          <w:lang w:val="en-US"/>
        </w:rPr>
        <w:t>the new policy establishes</w:t>
      </w:r>
      <w:r>
        <w:rPr>
          <w:lang w:val="en-US"/>
        </w:rPr>
        <w:t>:</w:t>
      </w:r>
    </w:p>
    <w:p w14:paraId="1EBB41ED" w14:textId="77777777" w:rsidR="00701FAB" w:rsidRPr="00701FAB" w:rsidRDefault="005D7CD0" w:rsidP="009B77F6">
      <w:pPr>
        <w:spacing w:before="100" w:beforeAutospacing="1" w:after="100" w:afterAutospacing="1" w:line="240" w:lineRule="auto"/>
        <w:ind w:left="5"/>
        <w:jc w:val="both"/>
        <w:rPr>
          <w:i/>
          <w:lang w:val="en-US"/>
        </w:rPr>
      </w:pPr>
      <w:r w:rsidRPr="00701FAB">
        <w:rPr>
          <w:i/>
          <w:lang w:val="en-GB"/>
        </w:rPr>
        <w:t>“</w:t>
      </w:r>
      <w:r w:rsidRPr="00701FAB">
        <w:rPr>
          <w:i/>
          <w:lang w:val="en-US"/>
        </w:rPr>
        <w:t>4. Endorses a general, harmonized cost-recovery rate of 8 per cent for non-core contributions that will be reviewed in 2016, with the possibility of increasing the rate if it is not consistent with the principle of full cost recovery, proportionally from core and non-core funding sources, as mandated by the quadrennial comprehensive policy review of operational activities for development of the United Nations system; and decides that the review of the cost-recovery rate will take place after the analysis and independent assessment of the reports…”</w:t>
      </w:r>
      <w:r w:rsidR="00A8035A" w:rsidRPr="00701FAB">
        <w:rPr>
          <w:rStyle w:val="FootnoteReference"/>
          <w:i/>
          <w:lang w:val="en-US"/>
        </w:rPr>
        <w:footnoteReference w:id="6"/>
      </w:r>
      <w:r w:rsidR="001F7DDF" w:rsidRPr="00701FAB">
        <w:rPr>
          <w:i/>
          <w:lang w:val="en-US"/>
        </w:rPr>
        <w:t xml:space="preserve">. </w:t>
      </w:r>
    </w:p>
    <w:p w14:paraId="3E286D03" w14:textId="10DCDF5E" w:rsidR="005D7CD0" w:rsidRDefault="001F7DDF" w:rsidP="009B77F6">
      <w:pPr>
        <w:spacing w:before="100" w:beforeAutospacing="1" w:after="100" w:afterAutospacing="1" w:line="240" w:lineRule="auto"/>
        <w:ind w:left="5"/>
        <w:jc w:val="both"/>
        <w:rPr>
          <w:lang w:val="en-US"/>
        </w:rPr>
      </w:pPr>
      <w:r>
        <w:rPr>
          <w:lang w:val="en-US"/>
        </w:rPr>
        <w:t xml:space="preserve">Please see Annex 2 of this document, which was included as Annex 6 of the Proposal submitted on </w:t>
      </w:r>
      <w:r w:rsidR="00A339F8">
        <w:rPr>
          <w:lang w:val="en-US"/>
        </w:rPr>
        <w:t>18 November 2013.</w:t>
      </w:r>
    </w:p>
    <w:p w14:paraId="7CEC5D13" w14:textId="77777777" w:rsidR="00492C05" w:rsidRPr="009C04A4" w:rsidRDefault="00492C05" w:rsidP="009B77F6">
      <w:pPr>
        <w:spacing w:before="100" w:beforeAutospacing="1" w:after="100" w:afterAutospacing="1" w:line="240" w:lineRule="auto"/>
        <w:ind w:left="5"/>
        <w:jc w:val="both"/>
        <w:rPr>
          <w:lang w:val="en-US"/>
        </w:rPr>
      </w:pPr>
      <w:r w:rsidRPr="009C04A4">
        <w:rPr>
          <w:lang w:val="en-US"/>
        </w:rPr>
        <w:t xml:space="preserve">The provisions or reports emanating from the Executive </w:t>
      </w:r>
      <w:r>
        <w:rPr>
          <w:lang w:val="en-US"/>
        </w:rPr>
        <w:t xml:space="preserve">Board are </w:t>
      </w:r>
      <w:r w:rsidRPr="009C04A4">
        <w:rPr>
          <w:lang w:val="en-US"/>
        </w:rPr>
        <w:t>considered as validated by the member states and therefore also apply to the U.S. Since the Ex</w:t>
      </w:r>
      <w:r>
        <w:rPr>
          <w:lang w:val="en-US"/>
        </w:rPr>
        <w:t>e</w:t>
      </w:r>
      <w:r w:rsidRPr="009C04A4">
        <w:rPr>
          <w:lang w:val="en-US"/>
        </w:rPr>
        <w:t xml:space="preserve">cutive </w:t>
      </w:r>
      <w:r>
        <w:rPr>
          <w:lang w:val="en-US"/>
        </w:rPr>
        <w:t>Board</w:t>
      </w:r>
      <w:r w:rsidRPr="009C04A4">
        <w:rPr>
          <w:lang w:val="en-US"/>
        </w:rPr>
        <w:t xml:space="preserve"> is accountable to </w:t>
      </w:r>
      <w:r>
        <w:rPr>
          <w:lang w:val="en-US"/>
        </w:rPr>
        <w:t>the member states</w:t>
      </w:r>
      <w:r w:rsidRPr="009C04A4">
        <w:rPr>
          <w:lang w:val="en-US"/>
        </w:rPr>
        <w:t xml:space="preserve">, the minutes of </w:t>
      </w:r>
      <w:r>
        <w:rPr>
          <w:lang w:val="en-US"/>
        </w:rPr>
        <w:t>the Executive Board meetings are</w:t>
      </w:r>
      <w:r w:rsidRPr="009C04A4">
        <w:rPr>
          <w:lang w:val="en-US"/>
        </w:rPr>
        <w:t xml:space="preserve"> a tool for the endorsement of cost recovery policies with </w:t>
      </w:r>
      <w:r>
        <w:rPr>
          <w:lang w:val="en-US"/>
        </w:rPr>
        <w:t>the M</w:t>
      </w:r>
      <w:r w:rsidRPr="009C04A4">
        <w:rPr>
          <w:lang w:val="en-US"/>
        </w:rPr>
        <w:t>ember States.</w:t>
      </w:r>
    </w:p>
    <w:p w14:paraId="379776F6" w14:textId="2B5B6DDC" w:rsidR="005A2C3F" w:rsidRPr="009C04A4" w:rsidRDefault="005A2C3F" w:rsidP="009B77F6">
      <w:pPr>
        <w:spacing w:before="100" w:beforeAutospacing="1" w:after="100" w:afterAutospacing="1" w:line="240" w:lineRule="auto"/>
        <w:ind w:left="5"/>
        <w:jc w:val="both"/>
        <w:rPr>
          <w:lang w:val="en-US"/>
        </w:rPr>
      </w:pPr>
    </w:p>
    <w:sectPr w:rsidR="005A2C3F" w:rsidRPr="009C04A4">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AB88F" w14:textId="77777777" w:rsidR="00756629" w:rsidRDefault="00756629" w:rsidP="00993B13">
      <w:pPr>
        <w:spacing w:after="0" w:line="240" w:lineRule="auto"/>
      </w:pPr>
      <w:r>
        <w:separator/>
      </w:r>
    </w:p>
  </w:endnote>
  <w:endnote w:type="continuationSeparator" w:id="0">
    <w:p w14:paraId="5A01437B" w14:textId="77777777" w:rsidR="00756629" w:rsidRDefault="00756629" w:rsidP="0099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DBFD9" w14:textId="77777777" w:rsidR="00DF1514" w:rsidRDefault="00DF1514" w:rsidP="00EF7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5AC3D" w14:textId="77777777" w:rsidR="00DF1514" w:rsidRDefault="00DF1514" w:rsidP="006748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4C30" w14:textId="77777777" w:rsidR="00DF1514" w:rsidRDefault="00DF1514" w:rsidP="00EF7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C0D">
      <w:rPr>
        <w:rStyle w:val="PageNumber"/>
        <w:noProof/>
      </w:rPr>
      <w:t>1</w:t>
    </w:r>
    <w:r>
      <w:rPr>
        <w:rStyle w:val="PageNumber"/>
      </w:rPr>
      <w:fldChar w:fldCharType="end"/>
    </w:r>
  </w:p>
  <w:p w14:paraId="6B9AC9F7" w14:textId="77777777" w:rsidR="00DF1514" w:rsidRDefault="00DF1514" w:rsidP="00860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E932" w14:textId="77777777" w:rsidR="00756629" w:rsidRDefault="00756629" w:rsidP="00993B13">
      <w:pPr>
        <w:spacing w:after="0" w:line="240" w:lineRule="auto"/>
      </w:pPr>
      <w:r>
        <w:separator/>
      </w:r>
    </w:p>
  </w:footnote>
  <w:footnote w:type="continuationSeparator" w:id="0">
    <w:p w14:paraId="2388DBC0" w14:textId="77777777" w:rsidR="00756629" w:rsidRDefault="00756629" w:rsidP="00993B13">
      <w:pPr>
        <w:spacing w:after="0" w:line="240" w:lineRule="auto"/>
      </w:pPr>
      <w:r>
        <w:continuationSeparator/>
      </w:r>
    </w:p>
  </w:footnote>
  <w:footnote w:id="1">
    <w:p w14:paraId="00F1A372" w14:textId="77777777" w:rsidR="00F67DCB" w:rsidRDefault="00F67DCB" w:rsidP="00F67DCB">
      <w:pPr>
        <w:pStyle w:val="FootnoteText"/>
      </w:pPr>
      <w:r>
        <w:rPr>
          <w:rStyle w:val="FootnoteReference"/>
        </w:rPr>
        <w:footnoteRef/>
      </w:r>
      <w:r>
        <w:t xml:space="preserve"> </w:t>
      </w:r>
      <w:hyperlink r:id="rId1" w:history="1">
        <w:r w:rsidRPr="00DF5C36">
          <w:rPr>
            <w:rStyle w:val="Hyperlink"/>
          </w:rPr>
          <w:t>http://icsc.un.org/rootindex.asp</w:t>
        </w:r>
      </w:hyperlink>
      <w:r>
        <w:t xml:space="preserve"> </w:t>
      </w:r>
    </w:p>
  </w:footnote>
  <w:footnote w:id="2">
    <w:p w14:paraId="511800B7" w14:textId="77777777" w:rsidR="00F67DCB" w:rsidRDefault="00F67DCB" w:rsidP="00F67DCB">
      <w:pPr>
        <w:pStyle w:val="FootnoteText"/>
      </w:pPr>
      <w:r>
        <w:rPr>
          <w:rStyle w:val="FootnoteReference"/>
        </w:rPr>
        <w:footnoteRef/>
      </w:r>
      <w:r>
        <w:t xml:space="preserve"> </w:t>
      </w:r>
      <w:hyperlink r:id="rId2" w:history="1">
        <w:r w:rsidRPr="00DF5C36">
          <w:rPr>
            <w:rStyle w:val="Hyperlink"/>
          </w:rPr>
          <w:t>http://www.unsceb.org/content/rates-subsistence-allowance-diem</w:t>
        </w:r>
      </w:hyperlink>
      <w:r>
        <w:t xml:space="preserve"> </w:t>
      </w:r>
    </w:p>
  </w:footnote>
  <w:footnote w:id="3">
    <w:p w14:paraId="796F81E1" w14:textId="12EA27E2" w:rsidR="00AD30BC" w:rsidRPr="00C503CF" w:rsidRDefault="00AD30BC">
      <w:pPr>
        <w:pStyle w:val="FootnoteText"/>
        <w:rPr>
          <w:lang w:val="en-US"/>
        </w:rPr>
      </w:pPr>
      <w:r>
        <w:rPr>
          <w:rStyle w:val="FootnoteReference"/>
        </w:rPr>
        <w:footnoteRef/>
      </w:r>
      <w:r w:rsidRPr="00C503CF">
        <w:rPr>
          <w:lang w:val="en-US"/>
        </w:rPr>
        <w:t xml:space="preserve"> According </w:t>
      </w:r>
      <w:r w:rsidRPr="009C04A4">
        <w:rPr>
          <w:lang w:val="en-US"/>
        </w:rPr>
        <w:t xml:space="preserve">to Foreign Per Diem Rates In U.S. Dollars </w:t>
      </w:r>
      <w:r>
        <w:rPr>
          <w:lang w:val="en-US"/>
        </w:rPr>
        <w:t xml:space="preserve">established by the US Government </w:t>
      </w:r>
      <w:r w:rsidRPr="009C04A4">
        <w:rPr>
          <w:lang w:val="en-US"/>
        </w:rPr>
        <w:t xml:space="preserve">in </w:t>
      </w:r>
      <w:hyperlink r:id="rId3" w:history="1">
        <w:r w:rsidRPr="009C04A4">
          <w:rPr>
            <w:rStyle w:val="Hyperlink"/>
            <w:lang w:val="en-US"/>
          </w:rPr>
          <w:t>http://aoprals.state.gov/web920/per_diem_action.asp</w:t>
        </w:r>
      </w:hyperlink>
      <w:r w:rsidRPr="009C04A4">
        <w:rPr>
          <w:lang w:val="en-US"/>
        </w:rPr>
        <w:t xml:space="preserve"> on publication date 04/01/2014, </w:t>
      </w:r>
      <w:r>
        <w:rPr>
          <w:lang w:val="en-US"/>
        </w:rPr>
        <w:t xml:space="preserve">the Per Diem in Dominican Republic is US$ 250 </w:t>
      </w:r>
    </w:p>
  </w:footnote>
  <w:footnote w:id="4">
    <w:p w14:paraId="5AA5390B" w14:textId="7D8891F2" w:rsidR="003A21B6" w:rsidRPr="003A21B6" w:rsidRDefault="003A21B6" w:rsidP="003A21B6">
      <w:pPr>
        <w:pStyle w:val="FootnoteText"/>
        <w:jc w:val="both"/>
        <w:rPr>
          <w:lang w:val="en-US"/>
        </w:rPr>
      </w:pPr>
      <w:r>
        <w:rPr>
          <w:rStyle w:val="FootnoteReference"/>
        </w:rPr>
        <w:footnoteRef/>
      </w:r>
      <w:r w:rsidRPr="003A21B6">
        <w:rPr>
          <w:lang w:val="en-US"/>
        </w:rPr>
        <w:t xml:space="preserve"> Victimization surveys are to measure levels of subjective perception on violence; M&amp;E surveys are needed to ensure the monitoring and evaluation strategy, an</w:t>
      </w:r>
      <w:r>
        <w:rPr>
          <w:lang w:val="en-US"/>
        </w:rPr>
        <w:t>d</w:t>
      </w:r>
      <w:r w:rsidRPr="003A21B6">
        <w:rPr>
          <w:lang w:val="en-US"/>
        </w:rPr>
        <w:t xml:space="preserve"> other mino</w:t>
      </w:r>
      <w:r>
        <w:rPr>
          <w:lang w:val="en-US"/>
        </w:rPr>
        <w:t>r</w:t>
      </w:r>
      <w:r w:rsidRPr="003A21B6">
        <w:rPr>
          <w:lang w:val="en-US"/>
        </w:rPr>
        <w:t xml:space="preserve"> surveys and polls are used to detect levels of cross cutting issues and emerging events on Citizen Security.</w:t>
      </w:r>
    </w:p>
  </w:footnote>
  <w:footnote w:id="5">
    <w:p w14:paraId="18372049" w14:textId="0598432D" w:rsidR="00BF5D1A" w:rsidRPr="00992C78" w:rsidRDefault="00BF5D1A">
      <w:pPr>
        <w:pStyle w:val="FootnoteText"/>
        <w:rPr>
          <w:lang w:val="en-US"/>
        </w:rPr>
      </w:pPr>
      <w:r>
        <w:rPr>
          <w:rStyle w:val="FootnoteReference"/>
        </w:rPr>
        <w:footnoteRef/>
      </w:r>
      <w:r w:rsidRPr="00992C78">
        <w:rPr>
          <w:lang w:val="en-US"/>
        </w:rPr>
        <w:t xml:space="preserve"> </w:t>
      </w:r>
      <w:r>
        <w:rPr>
          <w:lang w:val="en-US"/>
        </w:rPr>
        <w:t>Panamá Unit will held the survey in the non</w:t>
      </w:r>
      <w:r w:rsidR="005E039F">
        <w:rPr>
          <w:lang w:val="en-US"/>
        </w:rPr>
        <w:t>-</w:t>
      </w:r>
      <w:r>
        <w:rPr>
          <w:lang w:val="en-US"/>
        </w:rPr>
        <w:t>core countries  as Costa Rica, Dominican Republic, Belize, Panama and Nicaragua.</w:t>
      </w:r>
    </w:p>
  </w:footnote>
  <w:footnote w:id="6">
    <w:p w14:paraId="432F7DA4" w14:textId="4D457F85" w:rsidR="00DF1514" w:rsidRPr="00DC1C0A" w:rsidRDefault="00DF1514" w:rsidP="0067485B">
      <w:pPr>
        <w:pStyle w:val="FootnoteText"/>
        <w:jc w:val="both"/>
        <w:rPr>
          <w:lang w:val="en-US"/>
        </w:rPr>
      </w:pPr>
      <w:r>
        <w:rPr>
          <w:rStyle w:val="FootnoteReference"/>
        </w:rPr>
        <w:footnoteRef/>
      </w:r>
      <w:r w:rsidRPr="00DC1C0A">
        <w:rPr>
          <w:lang w:val="en-US"/>
        </w:rPr>
        <w:t xml:space="preserve"> </w:t>
      </w:r>
      <w:hyperlink r:id="rId4" w:history="1">
        <w:r w:rsidRPr="00DC1C0A">
          <w:rPr>
            <w:rStyle w:val="Hyperlink"/>
            <w:lang w:val="en-US"/>
          </w:rPr>
          <w:t>http://www.undp.org/content/dam/undp/library/corporate/Executive%20Board/2013/Annual-session/English/dp2013-10.doc</w:t>
        </w:r>
      </w:hyperlink>
      <w:r w:rsidRPr="00DC1C0A">
        <w:rPr>
          <w:lang w:val="en-US"/>
        </w:rPr>
        <w:t>.</w:t>
      </w:r>
    </w:p>
    <w:p w14:paraId="3D72ADAB" w14:textId="77777777" w:rsidR="00DF1514" w:rsidRPr="00DC1C0A" w:rsidRDefault="00DF1514" w:rsidP="0067485B">
      <w:pPr>
        <w:pStyle w:val="FootnoteText"/>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7F"/>
    <w:multiLevelType w:val="hybridMultilevel"/>
    <w:tmpl w:val="B45A82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1CD3374"/>
    <w:multiLevelType w:val="hybridMultilevel"/>
    <w:tmpl w:val="429258AA"/>
    <w:lvl w:ilvl="0" w:tplc="180A000F">
      <w:start w:val="1"/>
      <w:numFmt w:val="decimal"/>
      <w:lvlText w:val="%1."/>
      <w:lvlJc w:val="left"/>
      <w:pPr>
        <w:ind w:left="705" w:hanging="705"/>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1837215C"/>
    <w:multiLevelType w:val="hybridMultilevel"/>
    <w:tmpl w:val="F0F4637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
    <w:nsid w:val="415C3AD5"/>
    <w:multiLevelType w:val="hybridMultilevel"/>
    <w:tmpl w:val="00AE8184"/>
    <w:lvl w:ilvl="0" w:tplc="50A07910">
      <w:numFmt w:val="bullet"/>
      <w:lvlText w:val="•"/>
      <w:lvlJc w:val="left"/>
      <w:pPr>
        <w:ind w:left="705" w:hanging="705"/>
      </w:pPr>
      <w:rPr>
        <w:rFonts w:ascii="Calibri" w:eastAsiaTheme="minorHAnsi" w:hAnsi="Calibri" w:cstheme="minorBidi"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nsid w:val="49C37955"/>
    <w:multiLevelType w:val="hybridMultilevel"/>
    <w:tmpl w:val="A05A2B32"/>
    <w:lvl w:ilvl="0" w:tplc="67940F9E">
      <w:start w:val="1"/>
      <w:numFmt w:val="lowerRoman"/>
      <w:lvlText w:val="%1."/>
      <w:lvlJc w:val="left"/>
      <w:pPr>
        <w:ind w:left="2136" w:hanging="720"/>
      </w:pPr>
      <w:rPr>
        <w:rFonts w:hint="default"/>
      </w:rPr>
    </w:lvl>
    <w:lvl w:ilvl="1" w:tplc="180A0019" w:tentative="1">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abstractNum w:abstractNumId="5">
    <w:nsid w:val="4D876C7A"/>
    <w:multiLevelType w:val="hybridMultilevel"/>
    <w:tmpl w:val="B4E66958"/>
    <w:lvl w:ilvl="0" w:tplc="50A07910">
      <w:numFmt w:val="bullet"/>
      <w:lvlText w:val="•"/>
      <w:lvlJc w:val="left"/>
      <w:pPr>
        <w:ind w:left="705" w:hanging="705"/>
      </w:pPr>
      <w:rPr>
        <w:rFonts w:ascii="Calibri" w:eastAsiaTheme="minorHAnsi" w:hAnsi="Calibri" w:cstheme="minorBidi" w:hint="default"/>
      </w:rPr>
    </w:lvl>
    <w:lvl w:ilvl="1" w:tplc="180A0017">
      <w:start w:val="1"/>
      <w:numFmt w:val="lowerLetter"/>
      <w:lvlText w:val="%2)"/>
      <w:lvlJc w:val="left"/>
      <w:pPr>
        <w:ind w:left="1080" w:hanging="360"/>
      </w:pPr>
      <w:rPr>
        <w:rFonts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nsid w:val="6F2A5F7A"/>
    <w:multiLevelType w:val="hybridMultilevel"/>
    <w:tmpl w:val="0EC286CA"/>
    <w:lvl w:ilvl="0" w:tplc="592EA11A">
      <w:start w:val="1"/>
      <w:numFmt w:val="lowerRoman"/>
      <w:lvlText w:val="%1."/>
      <w:lvlJc w:val="left"/>
      <w:pPr>
        <w:ind w:left="2136" w:hanging="720"/>
      </w:pPr>
      <w:rPr>
        <w:rFonts w:hint="default"/>
      </w:rPr>
    </w:lvl>
    <w:lvl w:ilvl="1" w:tplc="180A0019" w:tentative="1">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abstractNum w:abstractNumId="7">
    <w:nsid w:val="71330E98"/>
    <w:multiLevelType w:val="hybridMultilevel"/>
    <w:tmpl w:val="B590DC26"/>
    <w:lvl w:ilvl="0" w:tplc="180A000F">
      <w:start w:val="1"/>
      <w:numFmt w:val="decimal"/>
      <w:lvlText w:val="%1."/>
      <w:lvlJc w:val="left"/>
      <w:pPr>
        <w:ind w:left="705" w:hanging="705"/>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4B"/>
    <w:rsid w:val="00052868"/>
    <w:rsid w:val="00082543"/>
    <w:rsid w:val="00094E61"/>
    <w:rsid w:val="000D2255"/>
    <w:rsid w:val="000D426D"/>
    <w:rsid w:val="000D5493"/>
    <w:rsid w:val="000D701A"/>
    <w:rsid w:val="000E76EC"/>
    <w:rsid w:val="00100ED2"/>
    <w:rsid w:val="00101596"/>
    <w:rsid w:val="001075EE"/>
    <w:rsid w:val="001148A2"/>
    <w:rsid w:val="0011729A"/>
    <w:rsid w:val="0012242A"/>
    <w:rsid w:val="00126AAF"/>
    <w:rsid w:val="0012724B"/>
    <w:rsid w:val="00164259"/>
    <w:rsid w:val="001F7DDF"/>
    <w:rsid w:val="0020358A"/>
    <w:rsid w:val="002149D8"/>
    <w:rsid w:val="00222252"/>
    <w:rsid w:val="002356D7"/>
    <w:rsid w:val="00246BDB"/>
    <w:rsid w:val="00246F93"/>
    <w:rsid w:val="00257F3F"/>
    <w:rsid w:val="00297390"/>
    <w:rsid w:val="002B1B20"/>
    <w:rsid w:val="002D0B9A"/>
    <w:rsid w:val="002D5BFD"/>
    <w:rsid w:val="002E743B"/>
    <w:rsid w:val="002E7C8D"/>
    <w:rsid w:val="002F1BCA"/>
    <w:rsid w:val="002F3787"/>
    <w:rsid w:val="00304263"/>
    <w:rsid w:val="00312AEE"/>
    <w:rsid w:val="00317469"/>
    <w:rsid w:val="00333EFF"/>
    <w:rsid w:val="00377634"/>
    <w:rsid w:val="003A21B6"/>
    <w:rsid w:val="003A35A3"/>
    <w:rsid w:val="003A64CA"/>
    <w:rsid w:val="003B2D88"/>
    <w:rsid w:val="003B4B60"/>
    <w:rsid w:val="003C6689"/>
    <w:rsid w:val="003C7F03"/>
    <w:rsid w:val="003D5658"/>
    <w:rsid w:val="003D588A"/>
    <w:rsid w:val="003E4C0D"/>
    <w:rsid w:val="00402FC8"/>
    <w:rsid w:val="00434E14"/>
    <w:rsid w:val="0044216F"/>
    <w:rsid w:val="00462282"/>
    <w:rsid w:val="0046261E"/>
    <w:rsid w:val="00467241"/>
    <w:rsid w:val="00492C05"/>
    <w:rsid w:val="00492F4F"/>
    <w:rsid w:val="00494C9B"/>
    <w:rsid w:val="004C5EF7"/>
    <w:rsid w:val="004E43C3"/>
    <w:rsid w:val="004F0633"/>
    <w:rsid w:val="00503B71"/>
    <w:rsid w:val="00510853"/>
    <w:rsid w:val="00510941"/>
    <w:rsid w:val="00521454"/>
    <w:rsid w:val="00524665"/>
    <w:rsid w:val="00533E5E"/>
    <w:rsid w:val="00591CE1"/>
    <w:rsid w:val="00594B5D"/>
    <w:rsid w:val="005A2C3F"/>
    <w:rsid w:val="005A7B51"/>
    <w:rsid w:val="005C4038"/>
    <w:rsid w:val="005D1781"/>
    <w:rsid w:val="005D7CD0"/>
    <w:rsid w:val="005E039F"/>
    <w:rsid w:val="005F51F3"/>
    <w:rsid w:val="00607E8A"/>
    <w:rsid w:val="00610A95"/>
    <w:rsid w:val="00610CDD"/>
    <w:rsid w:val="00614097"/>
    <w:rsid w:val="006156E5"/>
    <w:rsid w:val="006258BB"/>
    <w:rsid w:val="0063225A"/>
    <w:rsid w:val="006368D8"/>
    <w:rsid w:val="006466A2"/>
    <w:rsid w:val="00650DED"/>
    <w:rsid w:val="006600D1"/>
    <w:rsid w:val="006647E6"/>
    <w:rsid w:val="0067485B"/>
    <w:rsid w:val="00687062"/>
    <w:rsid w:val="006A09E1"/>
    <w:rsid w:val="006A1215"/>
    <w:rsid w:val="006B3EE5"/>
    <w:rsid w:val="00701FAB"/>
    <w:rsid w:val="007162BC"/>
    <w:rsid w:val="00756629"/>
    <w:rsid w:val="00756BED"/>
    <w:rsid w:val="00784257"/>
    <w:rsid w:val="0079400E"/>
    <w:rsid w:val="007A07C9"/>
    <w:rsid w:val="007A557E"/>
    <w:rsid w:val="007A73A0"/>
    <w:rsid w:val="007B37B3"/>
    <w:rsid w:val="007D3016"/>
    <w:rsid w:val="007E2EA9"/>
    <w:rsid w:val="007E5A89"/>
    <w:rsid w:val="007F3B33"/>
    <w:rsid w:val="00801336"/>
    <w:rsid w:val="00806C70"/>
    <w:rsid w:val="00813FDA"/>
    <w:rsid w:val="00827E20"/>
    <w:rsid w:val="00830E43"/>
    <w:rsid w:val="0083510B"/>
    <w:rsid w:val="008546D8"/>
    <w:rsid w:val="00860037"/>
    <w:rsid w:val="00860515"/>
    <w:rsid w:val="00862EBF"/>
    <w:rsid w:val="00866231"/>
    <w:rsid w:val="00891910"/>
    <w:rsid w:val="00891EC6"/>
    <w:rsid w:val="008A2F85"/>
    <w:rsid w:val="008B00E1"/>
    <w:rsid w:val="008B573F"/>
    <w:rsid w:val="008C2088"/>
    <w:rsid w:val="008C7396"/>
    <w:rsid w:val="008E1101"/>
    <w:rsid w:val="008E2F01"/>
    <w:rsid w:val="00903A20"/>
    <w:rsid w:val="00907B48"/>
    <w:rsid w:val="00913FFA"/>
    <w:rsid w:val="0092064C"/>
    <w:rsid w:val="00930DCB"/>
    <w:rsid w:val="00955BD6"/>
    <w:rsid w:val="00992C78"/>
    <w:rsid w:val="00993B13"/>
    <w:rsid w:val="00994A80"/>
    <w:rsid w:val="00997601"/>
    <w:rsid w:val="009B44FA"/>
    <w:rsid w:val="009B6436"/>
    <w:rsid w:val="009B77F6"/>
    <w:rsid w:val="009C04A4"/>
    <w:rsid w:val="009D0683"/>
    <w:rsid w:val="009D4EE8"/>
    <w:rsid w:val="009E0E1A"/>
    <w:rsid w:val="00A12699"/>
    <w:rsid w:val="00A148C5"/>
    <w:rsid w:val="00A339F8"/>
    <w:rsid w:val="00A37075"/>
    <w:rsid w:val="00A44A19"/>
    <w:rsid w:val="00A52330"/>
    <w:rsid w:val="00A5710C"/>
    <w:rsid w:val="00A57806"/>
    <w:rsid w:val="00A72877"/>
    <w:rsid w:val="00A8035A"/>
    <w:rsid w:val="00A8103E"/>
    <w:rsid w:val="00A950A1"/>
    <w:rsid w:val="00AB7CF0"/>
    <w:rsid w:val="00AC3AFF"/>
    <w:rsid w:val="00AD21D4"/>
    <w:rsid w:val="00AD30BC"/>
    <w:rsid w:val="00AE01A0"/>
    <w:rsid w:val="00AE47E3"/>
    <w:rsid w:val="00AF4C2B"/>
    <w:rsid w:val="00B2127F"/>
    <w:rsid w:val="00B25108"/>
    <w:rsid w:val="00B36E20"/>
    <w:rsid w:val="00B750F0"/>
    <w:rsid w:val="00B83AC5"/>
    <w:rsid w:val="00B9320D"/>
    <w:rsid w:val="00B94FF0"/>
    <w:rsid w:val="00BB1B7A"/>
    <w:rsid w:val="00BC79D8"/>
    <w:rsid w:val="00BD4DE2"/>
    <w:rsid w:val="00BF5D1A"/>
    <w:rsid w:val="00BF6DC3"/>
    <w:rsid w:val="00C27123"/>
    <w:rsid w:val="00C409FB"/>
    <w:rsid w:val="00C501C7"/>
    <w:rsid w:val="00C503CF"/>
    <w:rsid w:val="00C54524"/>
    <w:rsid w:val="00C65C34"/>
    <w:rsid w:val="00C66470"/>
    <w:rsid w:val="00CA12FA"/>
    <w:rsid w:val="00CA7117"/>
    <w:rsid w:val="00CB1C7D"/>
    <w:rsid w:val="00CD6D2B"/>
    <w:rsid w:val="00CE0DE4"/>
    <w:rsid w:val="00CE162F"/>
    <w:rsid w:val="00D250CB"/>
    <w:rsid w:val="00D265A6"/>
    <w:rsid w:val="00D31A38"/>
    <w:rsid w:val="00D36FDB"/>
    <w:rsid w:val="00D406E6"/>
    <w:rsid w:val="00D42ACB"/>
    <w:rsid w:val="00D43E1F"/>
    <w:rsid w:val="00D45976"/>
    <w:rsid w:val="00D52009"/>
    <w:rsid w:val="00D662F9"/>
    <w:rsid w:val="00DA0E23"/>
    <w:rsid w:val="00DC1C0A"/>
    <w:rsid w:val="00DF1514"/>
    <w:rsid w:val="00DF50C5"/>
    <w:rsid w:val="00E017C1"/>
    <w:rsid w:val="00E02498"/>
    <w:rsid w:val="00E10BF8"/>
    <w:rsid w:val="00E266F0"/>
    <w:rsid w:val="00E401DB"/>
    <w:rsid w:val="00E4048E"/>
    <w:rsid w:val="00E437D0"/>
    <w:rsid w:val="00E52353"/>
    <w:rsid w:val="00E66084"/>
    <w:rsid w:val="00E87037"/>
    <w:rsid w:val="00EA12DA"/>
    <w:rsid w:val="00EA164B"/>
    <w:rsid w:val="00EA20A6"/>
    <w:rsid w:val="00EB3DDF"/>
    <w:rsid w:val="00EB459D"/>
    <w:rsid w:val="00EB7BBB"/>
    <w:rsid w:val="00EF73BD"/>
    <w:rsid w:val="00F01660"/>
    <w:rsid w:val="00F12E2C"/>
    <w:rsid w:val="00F1613F"/>
    <w:rsid w:val="00F3777C"/>
    <w:rsid w:val="00F45D38"/>
    <w:rsid w:val="00F61230"/>
    <w:rsid w:val="00F67DCB"/>
    <w:rsid w:val="00F73178"/>
    <w:rsid w:val="00F9184A"/>
    <w:rsid w:val="00F92C5D"/>
    <w:rsid w:val="00F93D9B"/>
    <w:rsid w:val="00F94072"/>
    <w:rsid w:val="00F94C7D"/>
    <w:rsid w:val="00FB3D7A"/>
    <w:rsid w:val="00FB4245"/>
    <w:rsid w:val="00FC117F"/>
    <w:rsid w:val="00FC3358"/>
    <w:rsid w:val="00FD3A6B"/>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B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6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164B"/>
    <w:pPr>
      <w:ind w:left="720"/>
      <w:contextualSpacing/>
    </w:pPr>
  </w:style>
  <w:style w:type="character" w:styleId="Hyperlink">
    <w:name w:val="Hyperlink"/>
    <w:basedOn w:val="DefaultParagraphFont"/>
    <w:uiPriority w:val="99"/>
    <w:unhideWhenUsed/>
    <w:rsid w:val="00312AEE"/>
    <w:rPr>
      <w:color w:val="0000FF" w:themeColor="hyperlink"/>
      <w:u w:val="single"/>
    </w:rPr>
  </w:style>
  <w:style w:type="paragraph" w:styleId="FootnoteText">
    <w:name w:val="footnote text"/>
    <w:basedOn w:val="Normal"/>
    <w:link w:val="FootnoteTextChar"/>
    <w:uiPriority w:val="99"/>
    <w:semiHidden/>
    <w:unhideWhenUsed/>
    <w:rsid w:val="00993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B13"/>
    <w:rPr>
      <w:sz w:val="20"/>
      <w:szCs w:val="20"/>
    </w:rPr>
  </w:style>
  <w:style w:type="character" w:styleId="FootnoteReference">
    <w:name w:val="footnote reference"/>
    <w:basedOn w:val="DefaultParagraphFont"/>
    <w:uiPriority w:val="99"/>
    <w:semiHidden/>
    <w:unhideWhenUsed/>
    <w:rsid w:val="00993B13"/>
    <w:rPr>
      <w:vertAlign w:val="superscript"/>
    </w:rPr>
  </w:style>
  <w:style w:type="table" w:styleId="TableGrid">
    <w:name w:val="Table Grid"/>
    <w:basedOn w:val="TableNormal"/>
    <w:uiPriority w:val="59"/>
    <w:rsid w:val="00222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5D"/>
    <w:rPr>
      <w:rFonts w:ascii="Tahoma" w:hAnsi="Tahoma" w:cs="Tahoma"/>
      <w:sz w:val="16"/>
      <w:szCs w:val="16"/>
    </w:rPr>
  </w:style>
  <w:style w:type="paragraph" w:styleId="Caption">
    <w:name w:val="caption"/>
    <w:basedOn w:val="Normal"/>
    <w:next w:val="Normal"/>
    <w:uiPriority w:val="35"/>
    <w:unhideWhenUsed/>
    <w:qFormat/>
    <w:rsid w:val="00E017C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82543"/>
    <w:rPr>
      <w:sz w:val="18"/>
      <w:szCs w:val="18"/>
    </w:rPr>
  </w:style>
  <w:style w:type="paragraph" w:styleId="CommentText">
    <w:name w:val="annotation text"/>
    <w:basedOn w:val="Normal"/>
    <w:link w:val="CommentTextChar"/>
    <w:uiPriority w:val="99"/>
    <w:semiHidden/>
    <w:unhideWhenUsed/>
    <w:rsid w:val="00082543"/>
    <w:pPr>
      <w:spacing w:line="240" w:lineRule="auto"/>
    </w:pPr>
    <w:rPr>
      <w:sz w:val="24"/>
      <w:szCs w:val="24"/>
    </w:rPr>
  </w:style>
  <w:style w:type="character" w:customStyle="1" w:styleId="CommentTextChar">
    <w:name w:val="Comment Text Char"/>
    <w:basedOn w:val="DefaultParagraphFont"/>
    <w:link w:val="CommentText"/>
    <w:uiPriority w:val="99"/>
    <w:semiHidden/>
    <w:rsid w:val="00082543"/>
    <w:rPr>
      <w:sz w:val="24"/>
      <w:szCs w:val="24"/>
    </w:rPr>
  </w:style>
  <w:style w:type="paragraph" w:styleId="CommentSubject">
    <w:name w:val="annotation subject"/>
    <w:basedOn w:val="CommentText"/>
    <w:next w:val="CommentText"/>
    <w:link w:val="CommentSubjectChar"/>
    <w:uiPriority w:val="99"/>
    <w:semiHidden/>
    <w:unhideWhenUsed/>
    <w:rsid w:val="00082543"/>
    <w:rPr>
      <w:b/>
      <w:bCs/>
      <w:sz w:val="20"/>
      <w:szCs w:val="20"/>
    </w:rPr>
  </w:style>
  <w:style w:type="character" w:customStyle="1" w:styleId="CommentSubjectChar">
    <w:name w:val="Comment Subject Char"/>
    <w:basedOn w:val="CommentTextChar"/>
    <w:link w:val="CommentSubject"/>
    <w:uiPriority w:val="99"/>
    <w:semiHidden/>
    <w:rsid w:val="00082543"/>
    <w:rPr>
      <w:b/>
      <w:bCs/>
      <w:sz w:val="20"/>
      <w:szCs w:val="20"/>
    </w:rPr>
  </w:style>
  <w:style w:type="paragraph" w:styleId="Footer">
    <w:name w:val="footer"/>
    <w:basedOn w:val="Normal"/>
    <w:link w:val="FooterChar"/>
    <w:uiPriority w:val="99"/>
    <w:unhideWhenUsed/>
    <w:rsid w:val="00EF73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73BD"/>
  </w:style>
  <w:style w:type="character" w:styleId="PageNumber">
    <w:name w:val="page number"/>
    <w:basedOn w:val="DefaultParagraphFont"/>
    <w:uiPriority w:val="99"/>
    <w:semiHidden/>
    <w:unhideWhenUsed/>
    <w:rsid w:val="00EF73BD"/>
  </w:style>
  <w:style w:type="character" w:styleId="FollowedHyperlink">
    <w:name w:val="FollowedHyperlink"/>
    <w:basedOn w:val="DefaultParagraphFont"/>
    <w:uiPriority w:val="99"/>
    <w:semiHidden/>
    <w:unhideWhenUsed/>
    <w:rsid w:val="003D5658"/>
    <w:rPr>
      <w:color w:val="800080" w:themeColor="followedHyperlink"/>
      <w:u w:val="single"/>
    </w:rPr>
  </w:style>
  <w:style w:type="table" w:styleId="MediumGrid3-Accent1">
    <w:name w:val="Medium Grid 3 Accent 1"/>
    <w:basedOn w:val="TableNormal"/>
    <w:uiPriority w:val="69"/>
    <w:rsid w:val="00C503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6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164B"/>
    <w:pPr>
      <w:ind w:left="720"/>
      <w:contextualSpacing/>
    </w:pPr>
  </w:style>
  <w:style w:type="character" w:styleId="Hyperlink">
    <w:name w:val="Hyperlink"/>
    <w:basedOn w:val="DefaultParagraphFont"/>
    <w:uiPriority w:val="99"/>
    <w:unhideWhenUsed/>
    <w:rsid w:val="00312AEE"/>
    <w:rPr>
      <w:color w:val="0000FF" w:themeColor="hyperlink"/>
      <w:u w:val="single"/>
    </w:rPr>
  </w:style>
  <w:style w:type="paragraph" w:styleId="FootnoteText">
    <w:name w:val="footnote text"/>
    <w:basedOn w:val="Normal"/>
    <w:link w:val="FootnoteTextChar"/>
    <w:uiPriority w:val="99"/>
    <w:semiHidden/>
    <w:unhideWhenUsed/>
    <w:rsid w:val="00993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B13"/>
    <w:rPr>
      <w:sz w:val="20"/>
      <w:szCs w:val="20"/>
    </w:rPr>
  </w:style>
  <w:style w:type="character" w:styleId="FootnoteReference">
    <w:name w:val="footnote reference"/>
    <w:basedOn w:val="DefaultParagraphFont"/>
    <w:uiPriority w:val="99"/>
    <w:semiHidden/>
    <w:unhideWhenUsed/>
    <w:rsid w:val="00993B13"/>
    <w:rPr>
      <w:vertAlign w:val="superscript"/>
    </w:rPr>
  </w:style>
  <w:style w:type="table" w:styleId="TableGrid">
    <w:name w:val="Table Grid"/>
    <w:basedOn w:val="TableNormal"/>
    <w:uiPriority w:val="59"/>
    <w:rsid w:val="00222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5D"/>
    <w:rPr>
      <w:rFonts w:ascii="Tahoma" w:hAnsi="Tahoma" w:cs="Tahoma"/>
      <w:sz w:val="16"/>
      <w:szCs w:val="16"/>
    </w:rPr>
  </w:style>
  <w:style w:type="paragraph" w:styleId="Caption">
    <w:name w:val="caption"/>
    <w:basedOn w:val="Normal"/>
    <w:next w:val="Normal"/>
    <w:uiPriority w:val="35"/>
    <w:unhideWhenUsed/>
    <w:qFormat/>
    <w:rsid w:val="00E017C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82543"/>
    <w:rPr>
      <w:sz w:val="18"/>
      <w:szCs w:val="18"/>
    </w:rPr>
  </w:style>
  <w:style w:type="paragraph" w:styleId="CommentText">
    <w:name w:val="annotation text"/>
    <w:basedOn w:val="Normal"/>
    <w:link w:val="CommentTextChar"/>
    <w:uiPriority w:val="99"/>
    <w:semiHidden/>
    <w:unhideWhenUsed/>
    <w:rsid w:val="00082543"/>
    <w:pPr>
      <w:spacing w:line="240" w:lineRule="auto"/>
    </w:pPr>
    <w:rPr>
      <w:sz w:val="24"/>
      <w:szCs w:val="24"/>
    </w:rPr>
  </w:style>
  <w:style w:type="character" w:customStyle="1" w:styleId="CommentTextChar">
    <w:name w:val="Comment Text Char"/>
    <w:basedOn w:val="DefaultParagraphFont"/>
    <w:link w:val="CommentText"/>
    <w:uiPriority w:val="99"/>
    <w:semiHidden/>
    <w:rsid w:val="00082543"/>
    <w:rPr>
      <w:sz w:val="24"/>
      <w:szCs w:val="24"/>
    </w:rPr>
  </w:style>
  <w:style w:type="paragraph" w:styleId="CommentSubject">
    <w:name w:val="annotation subject"/>
    <w:basedOn w:val="CommentText"/>
    <w:next w:val="CommentText"/>
    <w:link w:val="CommentSubjectChar"/>
    <w:uiPriority w:val="99"/>
    <w:semiHidden/>
    <w:unhideWhenUsed/>
    <w:rsid w:val="00082543"/>
    <w:rPr>
      <w:b/>
      <w:bCs/>
      <w:sz w:val="20"/>
      <w:szCs w:val="20"/>
    </w:rPr>
  </w:style>
  <w:style w:type="character" w:customStyle="1" w:styleId="CommentSubjectChar">
    <w:name w:val="Comment Subject Char"/>
    <w:basedOn w:val="CommentTextChar"/>
    <w:link w:val="CommentSubject"/>
    <w:uiPriority w:val="99"/>
    <w:semiHidden/>
    <w:rsid w:val="00082543"/>
    <w:rPr>
      <w:b/>
      <w:bCs/>
      <w:sz w:val="20"/>
      <w:szCs w:val="20"/>
    </w:rPr>
  </w:style>
  <w:style w:type="paragraph" w:styleId="Footer">
    <w:name w:val="footer"/>
    <w:basedOn w:val="Normal"/>
    <w:link w:val="FooterChar"/>
    <w:uiPriority w:val="99"/>
    <w:unhideWhenUsed/>
    <w:rsid w:val="00EF73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73BD"/>
  </w:style>
  <w:style w:type="character" w:styleId="PageNumber">
    <w:name w:val="page number"/>
    <w:basedOn w:val="DefaultParagraphFont"/>
    <w:uiPriority w:val="99"/>
    <w:semiHidden/>
    <w:unhideWhenUsed/>
    <w:rsid w:val="00EF73BD"/>
  </w:style>
  <w:style w:type="character" w:styleId="FollowedHyperlink">
    <w:name w:val="FollowedHyperlink"/>
    <w:basedOn w:val="DefaultParagraphFont"/>
    <w:uiPriority w:val="99"/>
    <w:semiHidden/>
    <w:unhideWhenUsed/>
    <w:rsid w:val="003D5658"/>
    <w:rPr>
      <w:color w:val="800080" w:themeColor="followedHyperlink"/>
      <w:u w:val="single"/>
    </w:rPr>
  </w:style>
  <w:style w:type="table" w:styleId="MediumGrid3-Accent1">
    <w:name w:val="Medium Grid 3 Accent 1"/>
    <w:basedOn w:val="TableNormal"/>
    <w:uiPriority w:val="69"/>
    <w:rsid w:val="00C503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0088">
      <w:bodyDiv w:val="1"/>
      <w:marLeft w:val="0"/>
      <w:marRight w:val="0"/>
      <w:marTop w:val="0"/>
      <w:marBottom w:val="0"/>
      <w:divBdr>
        <w:top w:val="none" w:sz="0" w:space="0" w:color="auto"/>
        <w:left w:val="none" w:sz="0" w:space="0" w:color="auto"/>
        <w:bottom w:val="none" w:sz="0" w:space="0" w:color="auto"/>
        <w:right w:val="none" w:sz="0" w:space="0" w:color="auto"/>
      </w:divBdr>
    </w:div>
    <w:div w:id="284430041">
      <w:bodyDiv w:val="1"/>
      <w:marLeft w:val="0"/>
      <w:marRight w:val="0"/>
      <w:marTop w:val="0"/>
      <w:marBottom w:val="0"/>
      <w:divBdr>
        <w:top w:val="none" w:sz="0" w:space="0" w:color="auto"/>
        <w:left w:val="none" w:sz="0" w:space="0" w:color="auto"/>
        <w:bottom w:val="none" w:sz="0" w:space="0" w:color="auto"/>
        <w:right w:val="none" w:sz="0" w:space="0" w:color="auto"/>
      </w:divBdr>
    </w:div>
    <w:div w:id="339041553">
      <w:bodyDiv w:val="1"/>
      <w:marLeft w:val="0"/>
      <w:marRight w:val="0"/>
      <w:marTop w:val="0"/>
      <w:marBottom w:val="0"/>
      <w:divBdr>
        <w:top w:val="none" w:sz="0" w:space="0" w:color="auto"/>
        <w:left w:val="none" w:sz="0" w:space="0" w:color="auto"/>
        <w:bottom w:val="none" w:sz="0" w:space="0" w:color="auto"/>
        <w:right w:val="none" w:sz="0" w:space="0" w:color="auto"/>
      </w:divBdr>
    </w:div>
    <w:div w:id="573786158">
      <w:bodyDiv w:val="1"/>
      <w:marLeft w:val="0"/>
      <w:marRight w:val="0"/>
      <w:marTop w:val="0"/>
      <w:marBottom w:val="0"/>
      <w:divBdr>
        <w:top w:val="none" w:sz="0" w:space="0" w:color="auto"/>
        <w:left w:val="none" w:sz="0" w:space="0" w:color="auto"/>
        <w:bottom w:val="none" w:sz="0" w:space="0" w:color="auto"/>
        <w:right w:val="none" w:sz="0" w:space="0" w:color="auto"/>
      </w:divBdr>
      <w:divsChild>
        <w:div w:id="1274287003">
          <w:marLeft w:val="45"/>
          <w:marRight w:val="45"/>
          <w:marTop w:val="0"/>
          <w:marBottom w:val="0"/>
          <w:divBdr>
            <w:top w:val="none" w:sz="0" w:space="0" w:color="auto"/>
            <w:left w:val="none" w:sz="0" w:space="0" w:color="auto"/>
            <w:bottom w:val="none" w:sz="0" w:space="0" w:color="auto"/>
            <w:right w:val="none" w:sz="0" w:space="0" w:color="auto"/>
          </w:divBdr>
          <w:divsChild>
            <w:div w:id="11075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1722">
      <w:bodyDiv w:val="1"/>
      <w:marLeft w:val="0"/>
      <w:marRight w:val="0"/>
      <w:marTop w:val="0"/>
      <w:marBottom w:val="0"/>
      <w:divBdr>
        <w:top w:val="none" w:sz="0" w:space="0" w:color="auto"/>
        <w:left w:val="none" w:sz="0" w:space="0" w:color="auto"/>
        <w:bottom w:val="none" w:sz="0" w:space="0" w:color="auto"/>
        <w:right w:val="none" w:sz="0" w:space="0" w:color="auto"/>
      </w:divBdr>
    </w:div>
    <w:div w:id="813179172">
      <w:bodyDiv w:val="1"/>
      <w:marLeft w:val="0"/>
      <w:marRight w:val="0"/>
      <w:marTop w:val="0"/>
      <w:marBottom w:val="0"/>
      <w:divBdr>
        <w:top w:val="none" w:sz="0" w:space="0" w:color="auto"/>
        <w:left w:val="none" w:sz="0" w:space="0" w:color="auto"/>
        <w:bottom w:val="none" w:sz="0" w:space="0" w:color="auto"/>
        <w:right w:val="none" w:sz="0" w:space="0" w:color="auto"/>
      </w:divBdr>
    </w:div>
    <w:div w:id="865600745">
      <w:bodyDiv w:val="1"/>
      <w:marLeft w:val="0"/>
      <w:marRight w:val="0"/>
      <w:marTop w:val="0"/>
      <w:marBottom w:val="0"/>
      <w:divBdr>
        <w:top w:val="none" w:sz="0" w:space="0" w:color="auto"/>
        <w:left w:val="none" w:sz="0" w:space="0" w:color="auto"/>
        <w:bottom w:val="none" w:sz="0" w:space="0" w:color="auto"/>
        <w:right w:val="none" w:sz="0" w:space="0" w:color="auto"/>
      </w:divBdr>
    </w:div>
    <w:div w:id="1364096522">
      <w:bodyDiv w:val="1"/>
      <w:marLeft w:val="0"/>
      <w:marRight w:val="0"/>
      <w:marTop w:val="0"/>
      <w:marBottom w:val="0"/>
      <w:divBdr>
        <w:top w:val="none" w:sz="0" w:space="0" w:color="auto"/>
        <w:left w:val="none" w:sz="0" w:space="0" w:color="auto"/>
        <w:bottom w:val="none" w:sz="0" w:space="0" w:color="auto"/>
        <w:right w:val="none" w:sz="0" w:space="0" w:color="auto"/>
      </w:divBdr>
    </w:div>
    <w:div w:id="1739788753">
      <w:bodyDiv w:val="1"/>
      <w:marLeft w:val="0"/>
      <w:marRight w:val="0"/>
      <w:marTop w:val="0"/>
      <w:marBottom w:val="0"/>
      <w:divBdr>
        <w:top w:val="none" w:sz="0" w:space="0" w:color="auto"/>
        <w:left w:val="none" w:sz="0" w:space="0" w:color="auto"/>
        <w:bottom w:val="none" w:sz="0" w:space="0" w:color="auto"/>
        <w:right w:val="none" w:sz="0" w:space="0" w:color="auto"/>
      </w:divBdr>
    </w:div>
    <w:div w:id="1814831754">
      <w:bodyDiv w:val="1"/>
      <w:marLeft w:val="0"/>
      <w:marRight w:val="0"/>
      <w:marTop w:val="0"/>
      <w:marBottom w:val="0"/>
      <w:divBdr>
        <w:top w:val="none" w:sz="0" w:space="0" w:color="auto"/>
        <w:left w:val="none" w:sz="0" w:space="0" w:color="auto"/>
        <w:bottom w:val="none" w:sz="0" w:space="0" w:color="auto"/>
        <w:right w:val="none" w:sz="0" w:space="0" w:color="auto"/>
      </w:divBdr>
    </w:div>
    <w:div w:id="1853563840">
      <w:bodyDiv w:val="1"/>
      <w:marLeft w:val="0"/>
      <w:marRight w:val="0"/>
      <w:marTop w:val="0"/>
      <w:marBottom w:val="0"/>
      <w:divBdr>
        <w:top w:val="none" w:sz="0" w:space="0" w:color="auto"/>
        <w:left w:val="none" w:sz="0" w:space="0" w:color="auto"/>
        <w:bottom w:val="none" w:sz="0" w:space="0" w:color="auto"/>
        <w:right w:val="none" w:sz="0" w:space="0" w:color="auto"/>
      </w:divBdr>
    </w:div>
    <w:div w:id="2087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gotacomovamos.org/acerca-de/quienes-somos/"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oprals.state.gov/web920/per_diem_action.asp" TargetMode="External"/><Relationship Id="rId2" Type="http://schemas.openxmlformats.org/officeDocument/2006/relationships/hyperlink" Target="http://www.unsceb.org/content/rates-subsistence-allowance-diem" TargetMode="External"/><Relationship Id="rId1" Type="http://schemas.openxmlformats.org/officeDocument/2006/relationships/hyperlink" Target="http://icsc.un.org/rootindex.asp" TargetMode="External"/><Relationship Id="rId4" Type="http://schemas.openxmlformats.org/officeDocument/2006/relationships/hyperlink" Target="http://www.undp.org/content/dam/undp/library/corporate/Executive%20Board/2013/Annual-session/English/dp2013-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2015-10-16T17:00:00+00:00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1124</Value>
      <Value>1107</Value>
      <Value>1</Value>
    </TaxCatchAll>
    <c4e2ab2cc9354bbf9064eeb465a566ea xmlns="1ed4137b-41b2-488b-8250-6d369ec27664">
      <Terms xmlns="http://schemas.microsoft.com/office/infopath/2007/PartnerControls"/>
    </c4e2ab2cc9354bbf9064eeb465a566ea>
    <UndpProjectNo xmlns="1ed4137b-41b2-488b-8250-6d369ec27664">00080822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ATLASPDC-4-41088</_dlc_DocId>
    <_dlc_DocIdUrl xmlns="f1161f5b-24a3-4c2d-bc81-44cb9325e8ee">
      <Url>https://info.undp.org/docs/pdc/_layouts/DocIdRedir.aspx?ID=ATLASPDC-4-41088</Url>
      <Description>ATLASPDC-4-41088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AFE100-CE1A-464A-8DE8-43611663EF11}"/>
</file>

<file path=customXml/itemProps2.xml><?xml version="1.0" encoding="utf-8"?>
<ds:datastoreItem xmlns:ds="http://schemas.openxmlformats.org/officeDocument/2006/customXml" ds:itemID="{75AEF806-AC73-4789-B394-D54D9DC1E1AB}"/>
</file>

<file path=customXml/itemProps3.xml><?xml version="1.0" encoding="utf-8"?>
<ds:datastoreItem xmlns:ds="http://schemas.openxmlformats.org/officeDocument/2006/customXml" ds:itemID="{ED4319B7-5F44-425C-AEBB-72BB4360370F}"/>
</file>

<file path=customXml/itemProps4.xml><?xml version="1.0" encoding="utf-8"?>
<ds:datastoreItem xmlns:ds="http://schemas.openxmlformats.org/officeDocument/2006/customXml" ds:itemID="{25143025-5864-4595-9758-59B249957168}"/>
</file>

<file path=customXml/itemProps5.xml><?xml version="1.0" encoding="utf-8"?>
<ds:datastoreItem xmlns:ds="http://schemas.openxmlformats.org/officeDocument/2006/customXml" ds:itemID="{271DD70E-92A9-4A10-A489-267F2255B293}"/>
</file>

<file path=customXml/itemProps6.xml><?xml version="1.0" encoding="utf-8"?>
<ds:datastoreItem xmlns:ds="http://schemas.openxmlformats.org/officeDocument/2006/customXml" ds:itemID="{2A18A428-7B52-44FB-B07D-132CF76DF1FF}"/>
</file>

<file path=docProps/app.xml><?xml version="1.0" encoding="utf-8"?>
<Properties xmlns="http://schemas.openxmlformats.org/officeDocument/2006/extended-properties" xmlns:vt="http://schemas.openxmlformats.org/officeDocument/2006/docPropsVTypes">
  <Template>Normal</Template>
  <TotalTime>0</TotalTime>
  <Pages>12</Pages>
  <Words>4762</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Clarification April 9 2014 RFA SOL</dc:title>
  <dc:subject/>
  <dc:creator>Juan Pablo GORDILLO</dc:creator>
  <cp:lastModifiedBy>Juan Pablo GORDILLO</cp:lastModifiedBy>
  <cp:revision>2</cp:revision>
  <cp:lastPrinted>2014-04-14T19:47:00Z</cp:lastPrinted>
  <dcterms:created xsi:type="dcterms:W3CDTF">2014-04-14T21:43:00Z</dcterms:created>
  <dcterms:modified xsi:type="dcterms:W3CDTF">2014-04-14T21:43:00Z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1124;#R46|f08bccf9-e591-4230-9335-f907f33903f5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c2af0942-3416-4e45-bc4f-a780d5725112</vt:lpwstr>
  </property>
  <property fmtid="{D5CDD505-2E9C-101B-9397-08002B2CF9AE}" pid="18" name="URL">
    <vt:lpwstr/>
  </property>
  <property fmtid="{D5CDD505-2E9C-101B-9397-08002B2CF9AE}" pid="19" name="DocumentSetDescription">
    <vt:lpwstr/>
  </property>
</Properties>
</file>